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A44058">
      <w:pPr>
        <w:jc w:val="center"/>
        <w:rPr>
          <w:rFonts w:ascii="黑体" w:eastAsia="黑体" w:hAnsi="黑体" w:cs="黑体"/>
          <w:sz w:val="36"/>
          <w:szCs w:val="36"/>
        </w:rPr>
      </w:pPr>
      <w:r>
        <w:rPr>
          <w:rFonts w:ascii="黑体" w:eastAsia="黑体" w:hAnsi="黑体" w:cs="黑体" w:hint="eastAsia"/>
          <w:sz w:val="36"/>
          <w:szCs w:val="36"/>
        </w:rPr>
        <w:t>通用技术集团财务有限责任公司</w:t>
      </w:r>
    </w:p>
    <w:p w:rsidR="001F367C" w:rsidRDefault="00A44058">
      <w:pPr>
        <w:jc w:val="center"/>
        <w:rPr>
          <w:rFonts w:ascii="黑体" w:eastAsia="黑体" w:hAnsi="黑体" w:cs="黑体"/>
          <w:sz w:val="36"/>
          <w:szCs w:val="36"/>
        </w:rPr>
      </w:pPr>
      <w:r>
        <w:rPr>
          <w:rFonts w:ascii="黑体" w:eastAsia="黑体" w:hAnsi="黑体" w:cs="黑体" w:hint="eastAsia"/>
          <w:sz w:val="36"/>
          <w:szCs w:val="36"/>
        </w:rPr>
        <w:t>202</w:t>
      </w:r>
      <w:r w:rsidR="00621C47">
        <w:rPr>
          <w:rFonts w:ascii="黑体" w:eastAsia="黑体" w:hAnsi="黑体" w:cs="黑体" w:hint="eastAsia"/>
          <w:sz w:val="36"/>
          <w:szCs w:val="36"/>
        </w:rPr>
        <w:t>6</w:t>
      </w:r>
      <w:r>
        <w:rPr>
          <w:rFonts w:ascii="黑体" w:eastAsia="黑体" w:hAnsi="黑体" w:cs="黑体" w:hint="eastAsia"/>
          <w:sz w:val="36"/>
          <w:szCs w:val="36"/>
        </w:rPr>
        <w:t>年第</w:t>
      </w:r>
      <w:r w:rsidR="00183C80">
        <w:rPr>
          <w:rFonts w:ascii="黑体" w:eastAsia="黑体" w:hAnsi="黑体" w:cs="黑体" w:hint="eastAsia"/>
          <w:sz w:val="36"/>
          <w:szCs w:val="36"/>
        </w:rPr>
        <w:t>二</w:t>
      </w:r>
      <w:r>
        <w:rPr>
          <w:rFonts w:ascii="黑体" w:eastAsia="黑体" w:hAnsi="黑体" w:cs="黑体" w:hint="eastAsia"/>
          <w:sz w:val="36"/>
          <w:szCs w:val="36"/>
        </w:rPr>
        <w:t>季度第三支柱信息披露报告</w:t>
      </w: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sdt>
      <w:sdtPr>
        <w:rPr>
          <w:rFonts w:ascii="宋体" w:eastAsia="宋体" w:hAnsi="宋体"/>
          <w:sz w:val="44"/>
          <w:szCs w:val="44"/>
        </w:rPr>
        <w:id w:val="147471422"/>
        <w15:color w:val="DBDBDB"/>
        <w:docPartObj>
          <w:docPartGallery w:val="Table of Contents"/>
          <w:docPartUnique/>
        </w:docPartObj>
      </w:sdtPr>
      <w:sdtEndPr>
        <w:rPr>
          <w:rFonts w:ascii="黑体" w:eastAsia="黑体" w:hAnsi="黑体" w:cs="黑体" w:hint="eastAsia"/>
          <w:b/>
          <w:sz w:val="21"/>
          <w:szCs w:val="36"/>
        </w:rPr>
      </w:sdtEndPr>
      <w:sdtContent>
        <w:p w:rsidR="001F367C" w:rsidRDefault="00A44058">
          <w:pPr>
            <w:jc w:val="center"/>
            <w:rPr>
              <w:rFonts w:ascii="宋体" w:eastAsia="宋体" w:hAnsi="宋体"/>
              <w:sz w:val="44"/>
              <w:szCs w:val="44"/>
            </w:rPr>
          </w:pPr>
          <w:r>
            <w:rPr>
              <w:rFonts w:ascii="宋体" w:eastAsia="宋体" w:hAnsi="宋体"/>
              <w:sz w:val="44"/>
              <w:szCs w:val="44"/>
            </w:rPr>
            <w:t>目录</w:t>
          </w:r>
        </w:p>
        <w:p w:rsidR="001F367C" w:rsidRDefault="001F367C">
          <w:pPr>
            <w:jc w:val="center"/>
            <w:rPr>
              <w:rFonts w:ascii="宋体" w:eastAsia="宋体" w:hAnsi="宋体"/>
              <w:sz w:val="44"/>
              <w:szCs w:val="44"/>
            </w:rPr>
          </w:pPr>
        </w:p>
        <w:p w:rsidR="00AC2118" w:rsidRDefault="00A44058">
          <w:pPr>
            <w:pStyle w:val="1"/>
            <w:tabs>
              <w:tab w:val="right" w:leader="dot" w:pos="8296"/>
            </w:tabs>
            <w:rPr>
              <w:noProof/>
              <w:szCs w:val="22"/>
            </w:rPr>
          </w:pPr>
          <w:r>
            <w:rPr>
              <w:rFonts w:ascii="黑体" w:eastAsia="黑体" w:hAnsi="黑体" w:cs="黑体" w:hint="eastAsia"/>
              <w:kern w:val="0"/>
              <w:sz w:val="36"/>
              <w:szCs w:val="36"/>
            </w:rPr>
            <w:fldChar w:fldCharType="begin"/>
          </w:r>
          <w:r>
            <w:rPr>
              <w:rFonts w:ascii="黑体" w:eastAsia="黑体" w:hAnsi="黑体" w:cs="黑体" w:hint="eastAsia"/>
              <w:sz w:val="36"/>
              <w:szCs w:val="36"/>
            </w:rPr>
            <w:instrText xml:space="preserve">TOC \o "1-2" \h \u </w:instrText>
          </w:r>
          <w:r>
            <w:rPr>
              <w:rFonts w:ascii="黑体" w:eastAsia="黑体" w:hAnsi="黑体" w:cs="黑体" w:hint="eastAsia"/>
              <w:kern w:val="0"/>
              <w:sz w:val="36"/>
              <w:szCs w:val="36"/>
            </w:rPr>
            <w:fldChar w:fldCharType="separate"/>
          </w:r>
          <w:hyperlink w:anchor="_Toc236149881" w:history="1">
            <w:r w:rsidR="00AC2118" w:rsidRPr="00D934D5">
              <w:rPr>
                <w:rStyle w:val="a3"/>
                <w:rFonts w:ascii="黑体" w:eastAsia="黑体" w:hAnsi="黑体" w:cs="黑体"/>
                <w:noProof/>
              </w:rPr>
              <w:t>1引言</w:t>
            </w:r>
            <w:r w:rsidR="00AC2118">
              <w:rPr>
                <w:noProof/>
              </w:rPr>
              <w:tab/>
            </w:r>
            <w:r w:rsidR="00AC2118">
              <w:rPr>
                <w:noProof/>
              </w:rPr>
              <w:fldChar w:fldCharType="begin"/>
            </w:r>
            <w:r w:rsidR="00AC2118">
              <w:rPr>
                <w:noProof/>
              </w:rPr>
              <w:instrText xml:space="preserve"> PAGEREF _Toc236149881 \h </w:instrText>
            </w:r>
            <w:r w:rsidR="00AC2118">
              <w:rPr>
                <w:noProof/>
              </w:rPr>
            </w:r>
            <w:r w:rsidR="00AC2118">
              <w:rPr>
                <w:noProof/>
              </w:rPr>
              <w:fldChar w:fldCharType="separate"/>
            </w:r>
            <w:r w:rsidR="00AC2118">
              <w:rPr>
                <w:noProof/>
              </w:rPr>
              <w:t>3</w:t>
            </w:r>
            <w:r w:rsidR="00AC2118">
              <w:rPr>
                <w:noProof/>
              </w:rPr>
              <w:fldChar w:fldCharType="end"/>
            </w:r>
          </w:hyperlink>
        </w:p>
        <w:p w:rsidR="00AC2118" w:rsidRDefault="00AC2118">
          <w:pPr>
            <w:pStyle w:val="2"/>
            <w:tabs>
              <w:tab w:val="right" w:leader="dot" w:pos="8296"/>
            </w:tabs>
            <w:rPr>
              <w:noProof/>
              <w:szCs w:val="22"/>
            </w:rPr>
          </w:pPr>
          <w:hyperlink w:anchor="_Toc236149882" w:history="1">
            <w:r w:rsidRPr="00D934D5">
              <w:rPr>
                <w:rStyle w:val="a3"/>
                <w:rFonts w:eastAsia="黑体"/>
                <w:noProof/>
              </w:rPr>
              <w:t xml:space="preserve">1.1 </w:t>
            </w:r>
            <w:r w:rsidRPr="00D934D5">
              <w:rPr>
                <w:rStyle w:val="a3"/>
                <w:rFonts w:eastAsia="黑体"/>
                <w:noProof/>
              </w:rPr>
              <w:t>披露依据</w:t>
            </w:r>
            <w:r>
              <w:rPr>
                <w:noProof/>
              </w:rPr>
              <w:tab/>
            </w:r>
            <w:r>
              <w:rPr>
                <w:noProof/>
              </w:rPr>
              <w:fldChar w:fldCharType="begin"/>
            </w:r>
            <w:r>
              <w:rPr>
                <w:noProof/>
              </w:rPr>
              <w:instrText xml:space="preserve"> PAGEREF _Toc236149882 \h </w:instrText>
            </w:r>
            <w:r>
              <w:rPr>
                <w:noProof/>
              </w:rPr>
            </w:r>
            <w:r>
              <w:rPr>
                <w:noProof/>
              </w:rPr>
              <w:fldChar w:fldCharType="separate"/>
            </w:r>
            <w:r>
              <w:rPr>
                <w:noProof/>
              </w:rPr>
              <w:t>3</w:t>
            </w:r>
            <w:r>
              <w:rPr>
                <w:noProof/>
              </w:rPr>
              <w:fldChar w:fldCharType="end"/>
            </w:r>
          </w:hyperlink>
        </w:p>
        <w:p w:rsidR="00AC2118" w:rsidRDefault="00AC2118">
          <w:pPr>
            <w:pStyle w:val="2"/>
            <w:tabs>
              <w:tab w:val="right" w:leader="dot" w:pos="8296"/>
            </w:tabs>
            <w:rPr>
              <w:noProof/>
              <w:szCs w:val="22"/>
            </w:rPr>
          </w:pPr>
          <w:hyperlink w:anchor="_Toc236149883" w:history="1">
            <w:r w:rsidRPr="00D934D5">
              <w:rPr>
                <w:rStyle w:val="a3"/>
                <w:rFonts w:eastAsia="黑体"/>
                <w:noProof/>
              </w:rPr>
              <w:t xml:space="preserve">1.2 </w:t>
            </w:r>
            <w:r w:rsidRPr="00D934D5">
              <w:rPr>
                <w:rStyle w:val="a3"/>
                <w:rFonts w:eastAsia="黑体"/>
                <w:noProof/>
              </w:rPr>
              <w:t>披露声明</w:t>
            </w:r>
            <w:r>
              <w:rPr>
                <w:noProof/>
              </w:rPr>
              <w:tab/>
            </w:r>
            <w:r>
              <w:rPr>
                <w:noProof/>
              </w:rPr>
              <w:fldChar w:fldCharType="begin"/>
            </w:r>
            <w:r>
              <w:rPr>
                <w:noProof/>
              </w:rPr>
              <w:instrText xml:space="preserve"> PAGEREF _Toc236149883 \h </w:instrText>
            </w:r>
            <w:r>
              <w:rPr>
                <w:noProof/>
              </w:rPr>
            </w:r>
            <w:r>
              <w:rPr>
                <w:noProof/>
              </w:rPr>
              <w:fldChar w:fldCharType="separate"/>
            </w:r>
            <w:r>
              <w:rPr>
                <w:noProof/>
              </w:rPr>
              <w:t>3</w:t>
            </w:r>
            <w:r>
              <w:rPr>
                <w:noProof/>
              </w:rPr>
              <w:fldChar w:fldCharType="end"/>
            </w:r>
          </w:hyperlink>
        </w:p>
        <w:p w:rsidR="00AC2118" w:rsidRDefault="00AC2118">
          <w:pPr>
            <w:pStyle w:val="1"/>
            <w:tabs>
              <w:tab w:val="right" w:leader="dot" w:pos="8296"/>
            </w:tabs>
            <w:rPr>
              <w:noProof/>
              <w:szCs w:val="22"/>
            </w:rPr>
          </w:pPr>
          <w:hyperlink w:anchor="_Toc236149884" w:history="1">
            <w:r w:rsidRPr="00D934D5">
              <w:rPr>
                <w:rStyle w:val="a3"/>
                <w:rFonts w:ascii="黑体" w:eastAsia="黑体" w:hAnsi="黑体" w:cs="黑体"/>
                <w:noProof/>
              </w:rPr>
              <w:t>2</w:t>
            </w:r>
            <w:r w:rsidRPr="00D934D5">
              <w:rPr>
                <w:rStyle w:val="a3"/>
                <w:rFonts w:ascii="黑体" w:eastAsia="黑体" w:hAnsi="黑体" w:cs="黑体"/>
                <w:bCs/>
                <w:noProof/>
                <w:kern w:val="0"/>
                <w:lang w:bidi="ar"/>
              </w:rPr>
              <w:t>关键审慎监管指标概览</w:t>
            </w:r>
            <w:r>
              <w:rPr>
                <w:noProof/>
              </w:rPr>
              <w:tab/>
            </w:r>
            <w:r>
              <w:rPr>
                <w:noProof/>
              </w:rPr>
              <w:fldChar w:fldCharType="begin"/>
            </w:r>
            <w:r>
              <w:rPr>
                <w:noProof/>
              </w:rPr>
              <w:instrText xml:space="preserve"> PAGEREF _Toc236149884 \h </w:instrText>
            </w:r>
            <w:r>
              <w:rPr>
                <w:noProof/>
              </w:rPr>
            </w:r>
            <w:r>
              <w:rPr>
                <w:noProof/>
              </w:rPr>
              <w:fldChar w:fldCharType="separate"/>
            </w:r>
            <w:r>
              <w:rPr>
                <w:noProof/>
              </w:rPr>
              <w:t>4</w:t>
            </w:r>
            <w:r>
              <w:rPr>
                <w:noProof/>
              </w:rPr>
              <w:fldChar w:fldCharType="end"/>
            </w:r>
          </w:hyperlink>
        </w:p>
        <w:p w:rsidR="00AC2118" w:rsidRDefault="00AC2118">
          <w:pPr>
            <w:pStyle w:val="1"/>
            <w:tabs>
              <w:tab w:val="right" w:leader="dot" w:pos="8296"/>
            </w:tabs>
            <w:rPr>
              <w:noProof/>
              <w:szCs w:val="22"/>
            </w:rPr>
          </w:pPr>
          <w:hyperlink w:anchor="_Toc236149885" w:history="1">
            <w:r w:rsidRPr="00D934D5">
              <w:rPr>
                <w:rStyle w:val="a3"/>
                <w:rFonts w:ascii="黑体" w:eastAsia="黑体" w:hAnsi="黑体" w:cs="黑体"/>
                <w:noProof/>
              </w:rPr>
              <w:t>3</w:t>
            </w:r>
            <w:r w:rsidRPr="00D934D5">
              <w:rPr>
                <w:rStyle w:val="a3"/>
                <w:rFonts w:ascii="黑体" w:eastAsia="黑体" w:hAnsi="黑体" w:cs="黑体"/>
                <w:bCs/>
                <w:noProof/>
                <w:kern w:val="0"/>
                <w:lang w:bidi="ar"/>
              </w:rPr>
              <w:t>资本构成</w:t>
            </w:r>
            <w:r>
              <w:rPr>
                <w:noProof/>
              </w:rPr>
              <w:tab/>
            </w:r>
            <w:r>
              <w:rPr>
                <w:noProof/>
              </w:rPr>
              <w:fldChar w:fldCharType="begin"/>
            </w:r>
            <w:r>
              <w:rPr>
                <w:noProof/>
              </w:rPr>
              <w:instrText xml:space="preserve"> PAGEREF _Toc236149885 \h </w:instrText>
            </w:r>
            <w:r>
              <w:rPr>
                <w:noProof/>
              </w:rPr>
            </w:r>
            <w:r>
              <w:rPr>
                <w:noProof/>
              </w:rPr>
              <w:fldChar w:fldCharType="separate"/>
            </w:r>
            <w:r>
              <w:rPr>
                <w:noProof/>
              </w:rPr>
              <w:t>6</w:t>
            </w:r>
            <w:r>
              <w:rPr>
                <w:noProof/>
              </w:rPr>
              <w:fldChar w:fldCharType="end"/>
            </w:r>
          </w:hyperlink>
        </w:p>
        <w:p w:rsidR="001F367C" w:rsidRDefault="00A44058">
          <w:pPr>
            <w:jc w:val="center"/>
            <w:rPr>
              <w:rFonts w:ascii="黑体" w:eastAsia="黑体" w:hAnsi="黑体" w:cs="黑体"/>
              <w:sz w:val="36"/>
              <w:szCs w:val="36"/>
            </w:rPr>
          </w:pPr>
          <w:r>
            <w:rPr>
              <w:rFonts w:ascii="黑体" w:eastAsia="黑体" w:hAnsi="黑体" w:cs="黑体" w:hint="eastAsia"/>
              <w:b/>
              <w:szCs w:val="36"/>
            </w:rPr>
            <w:fldChar w:fldCharType="end"/>
          </w:r>
        </w:p>
      </w:sdtContent>
    </w:sdt>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bookmarkStart w:id="0" w:name="_GoBack"/>
      <w:bookmarkEnd w:id="0"/>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1F367C">
      <w:pPr>
        <w:jc w:val="center"/>
        <w:rPr>
          <w:rFonts w:ascii="黑体" w:eastAsia="黑体" w:hAnsi="黑体" w:cs="黑体"/>
          <w:sz w:val="36"/>
          <w:szCs w:val="36"/>
        </w:rPr>
      </w:pPr>
    </w:p>
    <w:p w:rsidR="001F367C" w:rsidRDefault="00A44058">
      <w:pPr>
        <w:rPr>
          <w:rFonts w:ascii="黑体" w:eastAsia="黑体" w:hAnsi="黑体" w:cs="黑体"/>
          <w:sz w:val="36"/>
          <w:szCs w:val="36"/>
        </w:rPr>
      </w:pPr>
      <w:r>
        <w:rPr>
          <w:rFonts w:ascii="黑体" w:eastAsia="黑体" w:hAnsi="黑体" w:cs="黑体" w:hint="eastAsia"/>
          <w:sz w:val="36"/>
          <w:szCs w:val="36"/>
        </w:rPr>
        <w:br w:type="page"/>
      </w:r>
    </w:p>
    <w:p w:rsidR="001F367C" w:rsidRDefault="001F367C">
      <w:pPr>
        <w:jc w:val="center"/>
        <w:rPr>
          <w:rFonts w:ascii="黑体" w:eastAsia="黑体" w:hAnsi="黑体" w:cs="黑体"/>
          <w:sz w:val="36"/>
          <w:szCs w:val="36"/>
        </w:rPr>
      </w:pPr>
    </w:p>
    <w:bookmarkStart w:id="1" w:name="_Toc236149881" w:displacedByCustomXml="next"/>
    <w:sdt>
      <w:sdtPr>
        <w:rPr>
          <w:rFonts w:ascii="黑体" w:eastAsia="黑体" w:hAnsi="黑体" w:cs="黑体"/>
          <w:sz w:val="36"/>
          <w:szCs w:val="36"/>
        </w:rPr>
        <w:id w:val="-29964183"/>
        <w:placeholder>
          <w:docPart w:val="{8a0625b0-180b-4e5e-83a0-8736dcd4bb68}"/>
        </w:placeholder>
        <w15:color w:val="509DF3"/>
      </w:sdtPr>
      <w:sdtEndPr/>
      <w:sdtContent>
        <w:p w:rsidR="001F367C" w:rsidRDefault="00A44058">
          <w:pPr>
            <w:spacing w:line="360" w:lineRule="auto"/>
            <w:jc w:val="left"/>
            <w:outlineLvl w:val="0"/>
            <w:rPr>
              <w:rFonts w:ascii="黑体" w:eastAsia="黑体" w:hAnsi="黑体" w:cs="黑体"/>
              <w:sz w:val="36"/>
              <w:szCs w:val="36"/>
            </w:rPr>
          </w:pPr>
          <w:r>
            <w:rPr>
              <w:rFonts w:ascii="黑体" w:eastAsia="黑体" w:hAnsi="黑体" w:cs="黑体" w:hint="eastAsia"/>
              <w:sz w:val="36"/>
              <w:szCs w:val="36"/>
            </w:rPr>
            <w:t>1引言</w:t>
          </w:r>
        </w:p>
      </w:sdtContent>
    </w:sdt>
    <w:bookmarkEnd w:id="1" w:displacedByCustomXml="prev"/>
    <w:p w:rsidR="001F367C" w:rsidRDefault="00A44058">
      <w:pPr>
        <w:spacing w:line="360" w:lineRule="auto"/>
        <w:jc w:val="left"/>
        <w:outlineLvl w:val="1"/>
        <w:rPr>
          <w:rFonts w:ascii="黑体" w:eastAsia="黑体" w:hAnsi="黑体" w:cs="黑体"/>
          <w:sz w:val="28"/>
          <w:szCs w:val="28"/>
        </w:rPr>
      </w:pPr>
      <w:bookmarkStart w:id="2" w:name="_Toc236149882"/>
      <w:r>
        <w:rPr>
          <w:rFonts w:eastAsia="黑体" w:hint="eastAsia"/>
          <w:sz w:val="24"/>
        </w:rPr>
        <w:t xml:space="preserve">1.1 </w:t>
      </w:r>
      <w:r>
        <w:rPr>
          <w:rFonts w:eastAsia="黑体" w:hint="eastAsia"/>
          <w:sz w:val="24"/>
        </w:rPr>
        <w:t>披露依据</w:t>
      </w:r>
      <w:bookmarkEnd w:id="2"/>
    </w:p>
    <w:p w:rsidR="001F367C" w:rsidRDefault="00A44058">
      <w:pPr>
        <w:widowControl/>
        <w:spacing w:line="360" w:lineRule="auto"/>
        <w:ind w:firstLineChars="200" w:firstLine="480"/>
        <w:jc w:val="left"/>
        <w:rPr>
          <w:rFonts w:ascii="宋体" w:eastAsia="宋体" w:hAnsi="宋体" w:cs="宋体"/>
          <w:sz w:val="24"/>
        </w:rPr>
      </w:pPr>
      <w:r>
        <w:rPr>
          <w:rFonts w:ascii="宋体" w:eastAsia="宋体" w:hAnsi="宋体" w:cs="宋体" w:hint="eastAsia"/>
          <w:color w:val="000000"/>
          <w:kern w:val="0"/>
          <w:sz w:val="24"/>
          <w:lang w:bidi="ar"/>
        </w:rPr>
        <w:t>本报告根据国家金融监督管理</w:t>
      </w:r>
      <w:proofErr w:type="gramStart"/>
      <w:r>
        <w:rPr>
          <w:rFonts w:ascii="宋体" w:eastAsia="宋体" w:hAnsi="宋体" w:cs="宋体" w:hint="eastAsia"/>
          <w:color w:val="000000"/>
          <w:kern w:val="0"/>
          <w:sz w:val="24"/>
          <w:lang w:bidi="ar"/>
        </w:rPr>
        <w:t>总局令第</w:t>
      </w:r>
      <w:proofErr w:type="gramEnd"/>
      <w:r>
        <w:rPr>
          <w:rFonts w:ascii="宋体" w:eastAsia="宋体" w:hAnsi="宋体" w:cs="宋体" w:hint="eastAsia"/>
          <w:color w:val="000000"/>
          <w:kern w:val="0"/>
          <w:sz w:val="24"/>
          <w:lang w:bidi="ar"/>
        </w:rPr>
        <w:t xml:space="preserve"> 4 号《商业银行资本管理办法》编制并披露。</w:t>
      </w:r>
    </w:p>
    <w:p w:rsidR="001F367C" w:rsidRDefault="00A44058">
      <w:pPr>
        <w:spacing w:line="360" w:lineRule="auto"/>
        <w:jc w:val="left"/>
        <w:outlineLvl w:val="1"/>
        <w:rPr>
          <w:rFonts w:ascii="黑体" w:eastAsia="黑体" w:hAnsi="黑体" w:cs="黑体"/>
          <w:sz w:val="28"/>
          <w:szCs w:val="28"/>
        </w:rPr>
      </w:pPr>
      <w:bookmarkStart w:id="3" w:name="_Toc236149883"/>
      <w:r>
        <w:rPr>
          <w:rFonts w:eastAsia="黑体" w:hint="eastAsia"/>
          <w:sz w:val="24"/>
        </w:rPr>
        <w:t xml:space="preserve">1.2 </w:t>
      </w:r>
      <w:r>
        <w:rPr>
          <w:rFonts w:eastAsia="黑体" w:hint="eastAsia"/>
          <w:sz w:val="24"/>
        </w:rPr>
        <w:t>披露声明</w:t>
      </w:r>
      <w:bookmarkEnd w:id="3"/>
    </w:p>
    <w:p w:rsidR="001F367C" w:rsidRDefault="00A44058">
      <w:pPr>
        <w:widowControl/>
        <w:spacing w:line="360" w:lineRule="auto"/>
        <w:ind w:firstLineChars="200" w:firstLine="480"/>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本报告是按照国家金融监督管理总局《商业银行资本管理办法》正文第九章信息披露及附件22商业银行信息披露内容和要求编制，而非财务会计准则。</w:t>
      </w:r>
    </w:p>
    <w:p w:rsidR="001F367C" w:rsidRDefault="00A44058">
      <w:pPr>
        <w:spacing w:line="360" w:lineRule="auto"/>
        <w:rPr>
          <w:rFonts w:ascii="宋体" w:eastAsia="宋体" w:hAnsi="宋体" w:cs="宋体"/>
          <w:color w:val="000000"/>
          <w:kern w:val="0"/>
          <w:sz w:val="24"/>
          <w:lang w:bidi="ar"/>
        </w:rPr>
      </w:pPr>
      <w:r>
        <w:rPr>
          <w:rFonts w:ascii="宋体" w:eastAsia="宋体" w:hAnsi="宋体" w:cs="宋体" w:hint="eastAsia"/>
          <w:color w:val="000000"/>
          <w:kern w:val="0"/>
          <w:sz w:val="24"/>
          <w:lang w:bidi="ar"/>
        </w:rPr>
        <w:br w:type="page"/>
      </w:r>
    </w:p>
    <w:bookmarkStart w:id="4" w:name="_Toc236149884" w:displacedByCustomXml="next"/>
    <w:sdt>
      <w:sdtPr>
        <w:rPr>
          <w:rFonts w:ascii="黑体" w:eastAsia="黑体" w:hAnsi="黑体" w:cs="黑体"/>
          <w:sz w:val="36"/>
          <w:szCs w:val="36"/>
        </w:rPr>
        <w:id w:val="-760911480"/>
        <w:placeholder>
          <w:docPart w:val="{784ec47e-fc7a-4d75-91aa-84ae90c91146}"/>
        </w:placeholder>
        <w15:color w:val="509DF3"/>
      </w:sdtPr>
      <w:sdtEndPr/>
      <w:sdtContent>
        <w:p w:rsidR="001F367C" w:rsidRPr="00723CF9" w:rsidRDefault="00A44058">
          <w:pPr>
            <w:widowControl/>
            <w:spacing w:line="360" w:lineRule="auto"/>
            <w:jc w:val="left"/>
            <w:outlineLvl w:val="0"/>
            <w:rPr>
              <w:rFonts w:ascii="黑体" w:eastAsia="黑体" w:hAnsi="黑体" w:cs="黑体"/>
              <w:sz w:val="36"/>
              <w:szCs w:val="36"/>
            </w:rPr>
          </w:pPr>
          <w:r w:rsidRPr="00723CF9">
            <w:rPr>
              <w:rFonts w:ascii="黑体" w:eastAsia="黑体" w:hAnsi="黑体" w:cs="黑体" w:hint="eastAsia"/>
              <w:sz w:val="36"/>
              <w:szCs w:val="36"/>
            </w:rPr>
            <w:t>2</w:t>
          </w:r>
          <w:r w:rsidRPr="00723CF9">
            <w:rPr>
              <w:rFonts w:ascii="黑体" w:eastAsia="黑体" w:hAnsi="黑体" w:cs="黑体" w:hint="eastAsia"/>
              <w:bCs/>
              <w:color w:val="000000"/>
              <w:kern w:val="0"/>
              <w:sz w:val="36"/>
              <w:szCs w:val="36"/>
              <w:lang w:bidi="ar"/>
            </w:rPr>
            <w:t>关键审慎监管指标概览</w:t>
          </w:r>
        </w:p>
      </w:sdtContent>
    </w:sdt>
    <w:bookmarkEnd w:id="4" w:displacedByCustomXml="prev"/>
    <w:p w:rsidR="001F367C" w:rsidRDefault="00A44058" w:rsidP="005D0436">
      <w:pPr>
        <w:widowControl/>
        <w:spacing w:line="360" w:lineRule="auto"/>
        <w:ind w:firstLineChars="200" w:firstLine="480"/>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关键审慎监管指标包括资本充足率、杠杆率以及流动性风险相关的指标。本公司关键审慎监管指标概览如下。</w:t>
      </w:r>
    </w:p>
    <w:p w:rsidR="005D0436" w:rsidRPr="00C316F4" w:rsidRDefault="005D0436" w:rsidP="00C316F4">
      <w:pPr>
        <w:widowControl/>
        <w:spacing w:line="360" w:lineRule="auto"/>
        <w:ind w:firstLineChars="200" w:firstLine="482"/>
        <w:jc w:val="left"/>
        <w:rPr>
          <w:rFonts w:eastAsia="宋体"/>
          <w:b/>
          <w:sz w:val="24"/>
        </w:rPr>
      </w:pPr>
      <w:r w:rsidRPr="005D0436">
        <w:rPr>
          <w:rFonts w:ascii="宋体" w:eastAsia="宋体" w:hAnsi="宋体" w:cs="宋体" w:hint="eastAsia"/>
          <w:b/>
          <w:color w:val="000000"/>
          <w:kern w:val="0"/>
          <w:sz w:val="24"/>
          <w:lang w:bidi="ar"/>
        </w:rPr>
        <w:t>表格KM1：监管并</w:t>
      </w:r>
      <w:proofErr w:type="gramStart"/>
      <w:r w:rsidRPr="005D0436">
        <w:rPr>
          <w:rFonts w:ascii="宋体" w:eastAsia="宋体" w:hAnsi="宋体" w:cs="宋体" w:hint="eastAsia"/>
          <w:b/>
          <w:color w:val="000000"/>
          <w:kern w:val="0"/>
          <w:sz w:val="24"/>
          <w:lang w:bidi="ar"/>
        </w:rPr>
        <w:t>表关键</w:t>
      </w:r>
      <w:proofErr w:type="gramEnd"/>
      <w:r w:rsidRPr="005D0436">
        <w:rPr>
          <w:rFonts w:ascii="宋体" w:eastAsia="宋体" w:hAnsi="宋体" w:cs="宋体" w:hint="eastAsia"/>
          <w:b/>
          <w:color w:val="000000"/>
          <w:kern w:val="0"/>
          <w:sz w:val="24"/>
          <w:lang w:bidi="ar"/>
        </w:rPr>
        <w:t>审慎监管指标</w:t>
      </w:r>
    </w:p>
    <w:p w:rsidR="001F367C" w:rsidRDefault="000663FA">
      <w:pPr>
        <w:widowControl/>
        <w:spacing w:line="360" w:lineRule="auto"/>
        <w:jc w:val="left"/>
      </w:pPr>
      <w:r>
        <w:rPr>
          <w:rFonts w:ascii="黑体" w:eastAsia="黑体" w:hAnsi="黑体" w:cs="黑体" w:hint="eastAsia"/>
          <w:sz w:val="36"/>
          <w:szCs w:val="36"/>
        </w:rPr>
        <w:t xml:space="preserve">                             </w:t>
      </w:r>
      <w:r w:rsidR="00A44058">
        <w:rPr>
          <w:rFonts w:ascii="宋体" w:eastAsia="宋体" w:hAnsi="宋体" w:cs="宋体" w:hint="eastAsia"/>
          <w:color w:val="000000"/>
          <w:kern w:val="0"/>
          <w:sz w:val="20"/>
          <w:szCs w:val="20"/>
          <w:lang w:bidi="ar"/>
        </w:rPr>
        <w:t>单位：人民币亿元，百分比除外</w:t>
      </w:r>
    </w:p>
    <w:tbl>
      <w:tblPr>
        <w:tblW w:w="7635" w:type="dxa"/>
        <w:jc w:val="center"/>
        <w:tblLook w:val="04A0" w:firstRow="1" w:lastRow="0" w:firstColumn="1" w:lastColumn="0" w:noHBand="0" w:noVBand="1"/>
      </w:tblPr>
      <w:tblGrid>
        <w:gridCol w:w="556"/>
        <w:gridCol w:w="1871"/>
        <w:gridCol w:w="1066"/>
        <w:gridCol w:w="1013"/>
        <w:gridCol w:w="1131"/>
        <w:gridCol w:w="990"/>
        <w:gridCol w:w="1008"/>
      </w:tblGrid>
      <w:tr w:rsidR="00822647" w:rsidTr="00BF22EB">
        <w:trPr>
          <w:trHeight w:val="280"/>
          <w:jc w:val="center"/>
        </w:trPr>
        <w:tc>
          <w:tcPr>
            <w:tcW w:w="24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822647" w:rsidRDefault="00822647" w:rsidP="00285740">
            <w:pPr>
              <w:jc w:val="center"/>
              <w:rPr>
                <w:rFonts w:ascii="微软雅黑" w:eastAsia="微软雅黑" w:hAnsi="微软雅黑" w:cs="微软雅黑"/>
                <w:color w:val="000000"/>
                <w:sz w:val="18"/>
                <w:szCs w:val="18"/>
              </w:rPr>
            </w:pPr>
          </w:p>
        </w:tc>
        <w:tc>
          <w:tcPr>
            <w:tcW w:w="1066" w:type="dxa"/>
            <w:tcBorders>
              <w:top w:val="single" w:sz="4" w:space="0" w:color="000000"/>
              <w:left w:val="single" w:sz="4" w:space="0" w:color="000000"/>
              <w:bottom w:val="single" w:sz="4" w:space="0" w:color="000000"/>
              <w:right w:val="single" w:sz="4" w:space="0" w:color="000000"/>
            </w:tcBorders>
          </w:tcPr>
          <w:p w:rsidR="00822647" w:rsidRDefault="00822647" w:rsidP="00285740">
            <w:pPr>
              <w:widowControl/>
              <w:jc w:val="center"/>
              <w:textAlignment w:val="center"/>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a</w:t>
            </w:r>
          </w:p>
        </w:tc>
        <w:tc>
          <w:tcPr>
            <w:tcW w:w="1013" w:type="dxa"/>
            <w:tcBorders>
              <w:top w:val="single" w:sz="4" w:space="0" w:color="000000"/>
              <w:left w:val="single" w:sz="4" w:space="0" w:color="000000"/>
              <w:bottom w:val="single" w:sz="4" w:space="0" w:color="000000"/>
              <w:right w:val="single" w:sz="4" w:space="0" w:color="000000"/>
            </w:tcBorders>
          </w:tcPr>
          <w:p w:rsidR="00822647" w:rsidRDefault="00822647" w:rsidP="00285740">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b/>
                <w:bCs/>
                <w:color w:val="000000"/>
                <w:sz w:val="18"/>
                <w:szCs w:val="18"/>
              </w:rPr>
              <w:t>b</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285740">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b/>
                <w:bCs/>
                <w:color w:val="000000"/>
                <w:sz w:val="18"/>
                <w:szCs w:val="18"/>
              </w:rPr>
              <w:t>c</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285740">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b/>
                <w:bCs/>
                <w:color w:val="000000"/>
                <w:sz w:val="18"/>
                <w:szCs w:val="18"/>
              </w:rPr>
              <w:t>d</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285740">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b/>
                <w:bCs/>
                <w:color w:val="000000"/>
                <w:sz w:val="18"/>
                <w:szCs w:val="18"/>
              </w:rPr>
              <w:t>e</w:t>
            </w:r>
          </w:p>
        </w:tc>
      </w:tr>
      <w:tr w:rsidR="00822647" w:rsidTr="00BF22EB">
        <w:trPr>
          <w:trHeight w:val="280"/>
          <w:jc w:val="center"/>
        </w:trPr>
        <w:tc>
          <w:tcPr>
            <w:tcW w:w="24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822647" w:rsidRDefault="00822647" w:rsidP="00285740">
            <w:pPr>
              <w:jc w:val="center"/>
              <w:rPr>
                <w:rFonts w:ascii="微软雅黑" w:eastAsia="微软雅黑" w:hAnsi="微软雅黑" w:cs="微软雅黑"/>
                <w:color w:val="000000"/>
                <w:sz w:val="18"/>
                <w:szCs w:val="18"/>
              </w:rPr>
            </w:pPr>
          </w:p>
        </w:tc>
        <w:tc>
          <w:tcPr>
            <w:tcW w:w="1066" w:type="dxa"/>
            <w:tcBorders>
              <w:top w:val="single" w:sz="4" w:space="0" w:color="000000"/>
              <w:left w:val="single" w:sz="4" w:space="0" w:color="000000"/>
              <w:bottom w:val="single" w:sz="4" w:space="0" w:color="auto"/>
              <w:right w:val="single" w:sz="4" w:space="0" w:color="000000"/>
            </w:tcBorders>
          </w:tcPr>
          <w:p w:rsidR="00822647" w:rsidRDefault="00822647" w:rsidP="001E4FC9">
            <w:pPr>
              <w:widowControl/>
              <w:jc w:val="center"/>
              <w:textAlignment w:val="center"/>
              <w:rPr>
                <w:rFonts w:ascii="微软雅黑" w:eastAsia="微软雅黑" w:hAnsi="微软雅黑" w:cs="微软雅黑"/>
                <w:b/>
                <w:bCs/>
                <w:color w:val="000000"/>
                <w:kern w:val="0"/>
                <w:sz w:val="18"/>
                <w:szCs w:val="18"/>
                <w:lang w:bidi="ar"/>
              </w:rPr>
            </w:pPr>
            <w:r w:rsidRPr="00DD16C4">
              <w:rPr>
                <w:rFonts w:ascii="微软雅黑" w:eastAsia="微软雅黑" w:hAnsi="微软雅黑" w:cs="微软雅黑" w:hint="eastAsia"/>
                <w:b/>
                <w:bCs/>
                <w:color w:val="000000"/>
                <w:kern w:val="0"/>
                <w:sz w:val="18"/>
                <w:szCs w:val="18"/>
                <w:lang w:bidi="ar"/>
              </w:rPr>
              <w:t>202</w:t>
            </w:r>
            <w:r>
              <w:rPr>
                <w:rFonts w:ascii="微软雅黑" w:eastAsia="微软雅黑" w:hAnsi="微软雅黑" w:cs="微软雅黑" w:hint="eastAsia"/>
                <w:b/>
                <w:bCs/>
                <w:color w:val="000000"/>
                <w:kern w:val="0"/>
                <w:sz w:val="18"/>
                <w:szCs w:val="18"/>
                <w:lang w:bidi="ar"/>
              </w:rPr>
              <w:t>6</w:t>
            </w:r>
            <w:r w:rsidRPr="00DD16C4">
              <w:rPr>
                <w:rFonts w:ascii="微软雅黑" w:eastAsia="微软雅黑" w:hAnsi="微软雅黑" w:cs="微软雅黑" w:hint="eastAsia"/>
                <w:b/>
                <w:bCs/>
                <w:color w:val="000000"/>
                <w:kern w:val="0"/>
                <w:sz w:val="18"/>
                <w:szCs w:val="18"/>
                <w:lang w:bidi="ar"/>
              </w:rPr>
              <w:t>年</w:t>
            </w:r>
            <w:r w:rsidR="001E4FC9">
              <w:rPr>
                <w:rFonts w:ascii="微软雅黑" w:eastAsia="微软雅黑" w:hAnsi="微软雅黑" w:cs="微软雅黑"/>
                <w:b/>
                <w:bCs/>
                <w:color w:val="000000"/>
                <w:kern w:val="0"/>
                <w:sz w:val="18"/>
                <w:szCs w:val="18"/>
                <w:lang w:bidi="ar"/>
              </w:rPr>
              <w:t>6</w:t>
            </w:r>
            <w:r w:rsidRPr="00DD16C4">
              <w:rPr>
                <w:rFonts w:ascii="微软雅黑" w:eastAsia="微软雅黑" w:hAnsi="微软雅黑" w:cs="微软雅黑" w:hint="eastAsia"/>
                <w:b/>
                <w:bCs/>
                <w:color w:val="000000"/>
                <w:kern w:val="0"/>
                <w:sz w:val="18"/>
                <w:szCs w:val="18"/>
                <w:lang w:bidi="ar"/>
              </w:rPr>
              <w:t>月3</w:t>
            </w:r>
            <w:r w:rsidR="001E4FC9">
              <w:rPr>
                <w:rFonts w:ascii="微软雅黑" w:eastAsia="微软雅黑" w:hAnsi="微软雅黑" w:cs="微软雅黑"/>
                <w:b/>
                <w:bCs/>
                <w:color w:val="000000"/>
                <w:kern w:val="0"/>
                <w:sz w:val="18"/>
                <w:szCs w:val="18"/>
                <w:lang w:bidi="ar"/>
              </w:rPr>
              <w:t>0</w:t>
            </w:r>
            <w:r w:rsidRPr="00DD16C4">
              <w:rPr>
                <w:rFonts w:ascii="微软雅黑" w:eastAsia="微软雅黑" w:hAnsi="微软雅黑" w:cs="微软雅黑" w:hint="eastAsia"/>
                <w:b/>
                <w:bCs/>
                <w:color w:val="000000"/>
                <w:kern w:val="0"/>
                <w:sz w:val="18"/>
                <w:szCs w:val="18"/>
                <w:lang w:bidi="ar"/>
              </w:rPr>
              <w:t>日</w:t>
            </w:r>
          </w:p>
        </w:tc>
        <w:tc>
          <w:tcPr>
            <w:tcW w:w="1013" w:type="dxa"/>
            <w:tcBorders>
              <w:top w:val="single" w:sz="4" w:space="0" w:color="000000"/>
              <w:left w:val="single" w:sz="4" w:space="0" w:color="000000"/>
              <w:bottom w:val="single" w:sz="4" w:space="0" w:color="auto"/>
              <w:right w:val="single" w:sz="4" w:space="0" w:color="000000"/>
            </w:tcBorders>
          </w:tcPr>
          <w:p w:rsidR="00822647" w:rsidRPr="00DD16C4" w:rsidRDefault="00822647" w:rsidP="00285740">
            <w:pPr>
              <w:widowControl/>
              <w:jc w:val="center"/>
              <w:textAlignment w:val="center"/>
              <w:rPr>
                <w:rFonts w:ascii="微软雅黑" w:eastAsia="微软雅黑" w:hAnsi="微软雅黑" w:cs="微软雅黑"/>
                <w:b/>
                <w:bCs/>
                <w:color w:val="000000"/>
                <w:kern w:val="0"/>
                <w:sz w:val="18"/>
                <w:szCs w:val="18"/>
                <w:lang w:bidi="ar"/>
              </w:rPr>
            </w:pPr>
            <w:r w:rsidRPr="00DD16C4">
              <w:rPr>
                <w:rFonts w:ascii="微软雅黑" w:eastAsia="微软雅黑" w:hAnsi="微软雅黑" w:cs="微软雅黑" w:hint="eastAsia"/>
                <w:b/>
                <w:bCs/>
                <w:color w:val="000000"/>
                <w:kern w:val="0"/>
                <w:sz w:val="18"/>
                <w:szCs w:val="18"/>
                <w:lang w:bidi="ar"/>
              </w:rPr>
              <w:t>202</w:t>
            </w:r>
            <w:r>
              <w:rPr>
                <w:rFonts w:ascii="微软雅黑" w:eastAsia="微软雅黑" w:hAnsi="微软雅黑" w:cs="微软雅黑" w:hint="eastAsia"/>
                <w:b/>
                <w:bCs/>
                <w:color w:val="000000"/>
                <w:kern w:val="0"/>
                <w:sz w:val="18"/>
                <w:szCs w:val="18"/>
                <w:lang w:bidi="ar"/>
              </w:rPr>
              <w:t>6</w:t>
            </w:r>
            <w:r w:rsidRPr="00DD16C4">
              <w:rPr>
                <w:rFonts w:ascii="微软雅黑" w:eastAsia="微软雅黑" w:hAnsi="微软雅黑" w:cs="微软雅黑" w:hint="eastAsia"/>
                <w:b/>
                <w:bCs/>
                <w:color w:val="000000"/>
                <w:kern w:val="0"/>
                <w:sz w:val="18"/>
                <w:szCs w:val="18"/>
                <w:lang w:bidi="ar"/>
              </w:rPr>
              <w:t>年</w:t>
            </w:r>
            <w:r>
              <w:rPr>
                <w:rFonts w:ascii="微软雅黑" w:eastAsia="微软雅黑" w:hAnsi="微软雅黑" w:cs="微软雅黑" w:hint="eastAsia"/>
                <w:b/>
                <w:bCs/>
                <w:color w:val="000000"/>
                <w:kern w:val="0"/>
                <w:sz w:val="18"/>
                <w:szCs w:val="18"/>
                <w:lang w:bidi="ar"/>
              </w:rPr>
              <w:t>3</w:t>
            </w:r>
            <w:r w:rsidRPr="00DD16C4">
              <w:rPr>
                <w:rFonts w:ascii="微软雅黑" w:eastAsia="微软雅黑" w:hAnsi="微软雅黑" w:cs="微软雅黑" w:hint="eastAsia"/>
                <w:b/>
                <w:bCs/>
                <w:color w:val="000000"/>
                <w:kern w:val="0"/>
                <w:sz w:val="18"/>
                <w:szCs w:val="18"/>
                <w:lang w:bidi="ar"/>
              </w:rPr>
              <w:t>月3</w:t>
            </w:r>
            <w:r>
              <w:rPr>
                <w:rFonts w:ascii="微软雅黑" w:eastAsia="微软雅黑" w:hAnsi="微软雅黑" w:cs="微软雅黑" w:hint="eastAsia"/>
                <w:b/>
                <w:bCs/>
                <w:color w:val="000000"/>
                <w:kern w:val="0"/>
                <w:sz w:val="18"/>
                <w:szCs w:val="18"/>
                <w:lang w:bidi="ar"/>
              </w:rPr>
              <w:t>1</w:t>
            </w:r>
            <w:r w:rsidRPr="00DD16C4">
              <w:rPr>
                <w:rFonts w:ascii="微软雅黑" w:eastAsia="微软雅黑" w:hAnsi="微软雅黑" w:cs="微软雅黑" w:hint="eastAsia"/>
                <w:b/>
                <w:bCs/>
                <w:color w:val="000000"/>
                <w:kern w:val="0"/>
                <w:sz w:val="18"/>
                <w:szCs w:val="18"/>
                <w:lang w:bidi="ar"/>
              </w:rPr>
              <w:t>日</w:t>
            </w:r>
          </w:p>
        </w:tc>
        <w:tc>
          <w:tcPr>
            <w:tcW w:w="1131" w:type="dxa"/>
            <w:tcBorders>
              <w:top w:val="single" w:sz="4" w:space="0" w:color="000000"/>
              <w:left w:val="single" w:sz="4" w:space="0" w:color="000000"/>
              <w:bottom w:val="single" w:sz="4" w:space="0" w:color="auto"/>
              <w:right w:val="single" w:sz="4" w:space="0" w:color="000000"/>
            </w:tcBorders>
          </w:tcPr>
          <w:p w:rsidR="00822647" w:rsidRDefault="00822647" w:rsidP="00285740">
            <w:pPr>
              <w:widowControl/>
              <w:jc w:val="center"/>
              <w:textAlignment w:val="center"/>
              <w:rPr>
                <w:rFonts w:ascii="微软雅黑" w:eastAsia="微软雅黑" w:hAnsi="微软雅黑" w:cs="微软雅黑"/>
                <w:b/>
                <w:bCs/>
                <w:color w:val="000000"/>
                <w:kern w:val="0"/>
                <w:sz w:val="18"/>
                <w:szCs w:val="18"/>
                <w:lang w:bidi="ar"/>
              </w:rPr>
            </w:pPr>
            <w:r w:rsidRPr="00DD16C4">
              <w:rPr>
                <w:rFonts w:ascii="微软雅黑" w:eastAsia="微软雅黑" w:hAnsi="微软雅黑" w:cs="微软雅黑" w:hint="eastAsia"/>
                <w:b/>
                <w:bCs/>
                <w:color w:val="000000"/>
                <w:kern w:val="0"/>
                <w:sz w:val="18"/>
                <w:szCs w:val="18"/>
                <w:lang w:bidi="ar"/>
              </w:rPr>
              <w:t>2025年</w:t>
            </w:r>
            <w:r>
              <w:rPr>
                <w:rFonts w:ascii="微软雅黑" w:eastAsia="微软雅黑" w:hAnsi="微软雅黑" w:cs="微软雅黑" w:hint="eastAsia"/>
                <w:b/>
                <w:bCs/>
                <w:color w:val="000000"/>
                <w:kern w:val="0"/>
                <w:sz w:val="18"/>
                <w:szCs w:val="18"/>
                <w:lang w:bidi="ar"/>
              </w:rPr>
              <w:t>12</w:t>
            </w:r>
            <w:r w:rsidRPr="00DD16C4">
              <w:rPr>
                <w:rFonts w:ascii="微软雅黑" w:eastAsia="微软雅黑" w:hAnsi="微软雅黑" w:cs="微软雅黑" w:hint="eastAsia"/>
                <w:b/>
                <w:bCs/>
                <w:color w:val="000000"/>
                <w:kern w:val="0"/>
                <w:sz w:val="18"/>
                <w:szCs w:val="18"/>
                <w:lang w:bidi="ar"/>
              </w:rPr>
              <w:t>月3</w:t>
            </w:r>
            <w:r>
              <w:rPr>
                <w:rFonts w:ascii="微软雅黑" w:eastAsia="微软雅黑" w:hAnsi="微软雅黑" w:cs="微软雅黑" w:hint="eastAsia"/>
                <w:b/>
                <w:bCs/>
                <w:color w:val="000000"/>
                <w:kern w:val="0"/>
                <w:sz w:val="18"/>
                <w:szCs w:val="18"/>
                <w:lang w:bidi="ar"/>
              </w:rPr>
              <w:t>1</w:t>
            </w:r>
            <w:r w:rsidRPr="00DD16C4">
              <w:rPr>
                <w:rFonts w:ascii="微软雅黑" w:eastAsia="微软雅黑" w:hAnsi="微软雅黑" w:cs="微软雅黑" w:hint="eastAsia"/>
                <w:b/>
                <w:bCs/>
                <w:color w:val="000000"/>
                <w:kern w:val="0"/>
                <w:sz w:val="18"/>
                <w:szCs w:val="18"/>
                <w:lang w:bidi="ar"/>
              </w:rPr>
              <w:t>日</w:t>
            </w:r>
          </w:p>
        </w:tc>
        <w:tc>
          <w:tcPr>
            <w:tcW w:w="990" w:type="dxa"/>
            <w:tcBorders>
              <w:top w:val="single" w:sz="4" w:space="0" w:color="000000"/>
              <w:left w:val="single" w:sz="4" w:space="0" w:color="000000"/>
              <w:bottom w:val="single" w:sz="4" w:space="0" w:color="auto"/>
              <w:right w:val="single" w:sz="4" w:space="0" w:color="000000"/>
            </w:tcBorders>
          </w:tcPr>
          <w:p w:rsidR="00822647" w:rsidRDefault="00822647" w:rsidP="00285740">
            <w:pPr>
              <w:widowControl/>
              <w:jc w:val="center"/>
              <w:textAlignment w:val="center"/>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202</w:t>
            </w:r>
            <w:r>
              <w:rPr>
                <w:rFonts w:ascii="微软雅黑" w:eastAsia="微软雅黑" w:hAnsi="微软雅黑" w:cs="微软雅黑"/>
                <w:b/>
                <w:bCs/>
                <w:color w:val="000000"/>
                <w:kern w:val="0"/>
                <w:sz w:val="18"/>
                <w:szCs w:val="18"/>
                <w:lang w:bidi="ar"/>
              </w:rPr>
              <w:t>5</w:t>
            </w:r>
            <w:r>
              <w:rPr>
                <w:rFonts w:ascii="微软雅黑" w:eastAsia="微软雅黑" w:hAnsi="微软雅黑" w:cs="微软雅黑" w:hint="eastAsia"/>
                <w:b/>
                <w:bCs/>
                <w:color w:val="000000"/>
                <w:kern w:val="0"/>
                <w:sz w:val="18"/>
                <w:szCs w:val="18"/>
                <w:lang w:bidi="ar"/>
              </w:rPr>
              <w:t>年</w:t>
            </w:r>
            <w:r>
              <w:rPr>
                <w:rFonts w:ascii="微软雅黑" w:eastAsia="微软雅黑" w:hAnsi="微软雅黑" w:cs="微软雅黑"/>
                <w:b/>
                <w:bCs/>
                <w:color w:val="000000"/>
                <w:kern w:val="0"/>
                <w:sz w:val="18"/>
                <w:szCs w:val="18"/>
                <w:lang w:bidi="ar"/>
              </w:rPr>
              <w:t>9</w:t>
            </w:r>
            <w:r>
              <w:rPr>
                <w:rFonts w:ascii="微软雅黑" w:eastAsia="微软雅黑" w:hAnsi="微软雅黑" w:cs="微软雅黑" w:hint="eastAsia"/>
                <w:b/>
                <w:bCs/>
                <w:color w:val="000000"/>
                <w:kern w:val="0"/>
                <w:sz w:val="18"/>
                <w:szCs w:val="18"/>
                <w:lang w:bidi="ar"/>
              </w:rPr>
              <w:t>月3</w:t>
            </w:r>
            <w:r>
              <w:rPr>
                <w:rFonts w:ascii="微软雅黑" w:eastAsia="微软雅黑" w:hAnsi="微软雅黑" w:cs="微软雅黑"/>
                <w:b/>
                <w:bCs/>
                <w:color w:val="000000"/>
                <w:kern w:val="0"/>
                <w:sz w:val="18"/>
                <w:szCs w:val="18"/>
                <w:lang w:bidi="ar"/>
              </w:rPr>
              <w:t>0</w:t>
            </w:r>
            <w:r>
              <w:rPr>
                <w:rFonts w:ascii="微软雅黑" w:eastAsia="微软雅黑" w:hAnsi="微软雅黑" w:cs="微软雅黑" w:hint="eastAsia"/>
                <w:b/>
                <w:bCs/>
                <w:color w:val="000000"/>
                <w:kern w:val="0"/>
                <w:sz w:val="18"/>
                <w:szCs w:val="18"/>
                <w:lang w:bidi="ar"/>
              </w:rPr>
              <w:t>日</w:t>
            </w:r>
          </w:p>
        </w:tc>
        <w:tc>
          <w:tcPr>
            <w:tcW w:w="1008" w:type="dxa"/>
            <w:tcBorders>
              <w:top w:val="single" w:sz="4" w:space="0" w:color="000000"/>
              <w:left w:val="single" w:sz="4" w:space="0" w:color="000000"/>
              <w:bottom w:val="single" w:sz="4" w:space="0" w:color="auto"/>
              <w:right w:val="single" w:sz="4" w:space="0" w:color="000000"/>
            </w:tcBorders>
          </w:tcPr>
          <w:p w:rsidR="00822647" w:rsidRDefault="00822647" w:rsidP="00285740">
            <w:pPr>
              <w:widowControl/>
              <w:jc w:val="center"/>
              <w:textAlignment w:val="center"/>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202</w:t>
            </w:r>
            <w:r>
              <w:rPr>
                <w:rFonts w:ascii="微软雅黑" w:eastAsia="微软雅黑" w:hAnsi="微软雅黑" w:cs="微软雅黑"/>
                <w:b/>
                <w:bCs/>
                <w:color w:val="000000"/>
                <w:kern w:val="0"/>
                <w:sz w:val="18"/>
                <w:szCs w:val="18"/>
                <w:lang w:bidi="ar"/>
              </w:rPr>
              <w:t>5</w:t>
            </w:r>
            <w:r>
              <w:rPr>
                <w:rFonts w:ascii="微软雅黑" w:eastAsia="微软雅黑" w:hAnsi="微软雅黑" w:cs="微软雅黑" w:hint="eastAsia"/>
                <w:b/>
                <w:bCs/>
                <w:color w:val="000000"/>
                <w:kern w:val="0"/>
                <w:sz w:val="18"/>
                <w:szCs w:val="18"/>
                <w:lang w:bidi="ar"/>
              </w:rPr>
              <w:t>年</w:t>
            </w:r>
            <w:r>
              <w:rPr>
                <w:rFonts w:ascii="微软雅黑" w:eastAsia="微软雅黑" w:hAnsi="微软雅黑" w:cs="微软雅黑"/>
                <w:b/>
                <w:bCs/>
                <w:color w:val="000000"/>
                <w:kern w:val="0"/>
                <w:sz w:val="18"/>
                <w:szCs w:val="18"/>
                <w:lang w:bidi="ar"/>
              </w:rPr>
              <w:t>6</w:t>
            </w:r>
            <w:r>
              <w:rPr>
                <w:rFonts w:ascii="微软雅黑" w:eastAsia="微软雅黑" w:hAnsi="微软雅黑" w:cs="微软雅黑" w:hint="eastAsia"/>
                <w:b/>
                <w:bCs/>
                <w:color w:val="000000"/>
                <w:kern w:val="0"/>
                <w:sz w:val="18"/>
                <w:szCs w:val="18"/>
                <w:lang w:bidi="ar"/>
              </w:rPr>
              <w:t>月3</w:t>
            </w:r>
            <w:r>
              <w:rPr>
                <w:rFonts w:ascii="微软雅黑" w:eastAsia="微软雅黑" w:hAnsi="微软雅黑" w:cs="微软雅黑"/>
                <w:b/>
                <w:bCs/>
                <w:color w:val="000000"/>
                <w:kern w:val="0"/>
                <w:sz w:val="18"/>
                <w:szCs w:val="18"/>
                <w:lang w:bidi="ar"/>
              </w:rPr>
              <w:t>0</w:t>
            </w:r>
            <w:r>
              <w:rPr>
                <w:rFonts w:ascii="微软雅黑" w:eastAsia="微软雅黑" w:hAnsi="微软雅黑" w:cs="微软雅黑" w:hint="eastAsia"/>
                <w:b/>
                <w:bCs/>
                <w:color w:val="000000"/>
                <w:kern w:val="0"/>
                <w:sz w:val="18"/>
                <w:szCs w:val="18"/>
                <w:lang w:bidi="ar"/>
              </w:rPr>
              <w:t>日</w:t>
            </w:r>
          </w:p>
        </w:tc>
      </w:tr>
      <w:tr w:rsidR="0035677A" w:rsidTr="00BF22EB">
        <w:trPr>
          <w:trHeight w:val="280"/>
          <w:jc w:val="center"/>
        </w:trPr>
        <w:tc>
          <w:tcPr>
            <w:tcW w:w="2427" w:type="dxa"/>
            <w:gridSpan w:val="2"/>
            <w:tcBorders>
              <w:top w:val="nil"/>
              <w:left w:val="single" w:sz="4" w:space="0" w:color="000000"/>
              <w:bottom w:val="single" w:sz="4" w:space="0" w:color="000000"/>
              <w:right w:val="single" w:sz="4" w:space="0" w:color="auto"/>
            </w:tcBorders>
            <w:shd w:val="clear" w:color="auto" w:fill="D9D9D9"/>
          </w:tcPr>
          <w:p w:rsidR="0035677A" w:rsidRDefault="0035677A" w:rsidP="00285740">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可用资本（数额）</w:t>
            </w:r>
          </w:p>
        </w:tc>
        <w:tc>
          <w:tcPr>
            <w:tcW w:w="5208" w:type="dxa"/>
            <w:gridSpan w:val="5"/>
            <w:tcBorders>
              <w:top w:val="single" w:sz="4" w:space="0" w:color="auto"/>
              <w:left w:val="single" w:sz="4" w:space="0" w:color="auto"/>
              <w:bottom w:val="single" w:sz="4" w:space="0" w:color="auto"/>
              <w:right w:val="single" w:sz="4" w:space="0" w:color="auto"/>
            </w:tcBorders>
            <w:shd w:val="clear" w:color="auto" w:fill="D9D9D9"/>
          </w:tcPr>
          <w:p w:rsidR="0035677A" w:rsidRDefault="0035677A" w:rsidP="00285740">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核心一级资本净额</w:t>
            </w:r>
          </w:p>
        </w:tc>
        <w:tc>
          <w:tcPr>
            <w:tcW w:w="1066" w:type="dxa"/>
            <w:tcBorders>
              <w:top w:val="single" w:sz="4" w:space="0" w:color="auto"/>
              <w:left w:val="single" w:sz="4" w:space="0" w:color="000000"/>
              <w:bottom w:val="single" w:sz="4" w:space="0" w:color="000000"/>
              <w:right w:val="single" w:sz="4" w:space="0" w:color="000000"/>
            </w:tcBorders>
            <w:vAlign w:val="center"/>
          </w:tcPr>
          <w:p w:rsidR="00822647" w:rsidRDefault="00822647" w:rsidP="001E4FC9">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w:t>
            </w:r>
            <w:r w:rsidR="001E4FC9">
              <w:rPr>
                <w:rFonts w:ascii="微软雅黑" w:eastAsia="微软雅黑" w:hAnsi="微软雅黑" w:cs="Arial"/>
                <w:color w:val="000000"/>
                <w:sz w:val="18"/>
                <w:szCs w:val="18"/>
              </w:rPr>
              <w:t>4.27</w:t>
            </w:r>
          </w:p>
        </w:tc>
        <w:tc>
          <w:tcPr>
            <w:tcW w:w="1013" w:type="dxa"/>
            <w:tcBorders>
              <w:top w:val="single" w:sz="4" w:space="0" w:color="auto"/>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63.20</w:t>
            </w:r>
          </w:p>
        </w:tc>
        <w:tc>
          <w:tcPr>
            <w:tcW w:w="1131" w:type="dxa"/>
            <w:tcBorders>
              <w:top w:val="single" w:sz="4" w:space="0" w:color="auto"/>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62.46</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60.80</w:t>
            </w:r>
          </w:p>
        </w:tc>
        <w:tc>
          <w:tcPr>
            <w:tcW w:w="1008" w:type="dxa"/>
            <w:tcBorders>
              <w:top w:val="single" w:sz="4" w:space="0" w:color="auto"/>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60.76</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一级资本净额</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1E4FC9"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w:t>
            </w:r>
            <w:r>
              <w:rPr>
                <w:rFonts w:ascii="微软雅黑" w:eastAsia="微软雅黑" w:hAnsi="微软雅黑" w:cs="Arial"/>
                <w:color w:val="000000"/>
                <w:sz w:val="18"/>
                <w:szCs w:val="18"/>
              </w:rPr>
              <w:t>4.27</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63.20</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62.46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60.80</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60.76</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3</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资本净额</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1E4FC9">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66.</w:t>
            </w:r>
            <w:r w:rsidR="001E4FC9">
              <w:rPr>
                <w:rFonts w:ascii="微软雅黑" w:eastAsia="微软雅黑" w:hAnsi="微软雅黑" w:cs="Arial"/>
                <w:color w:val="000000"/>
                <w:sz w:val="18"/>
                <w:szCs w:val="18"/>
              </w:rPr>
              <w:t>88</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66.75</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66.90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65.57</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65.43</w:t>
            </w:r>
          </w:p>
        </w:tc>
      </w:tr>
      <w:tr w:rsidR="0035677A"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35677A" w:rsidRDefault="0035677A" w:rsidP="00822647">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风险加权资产（数额）</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35677A" w:rsidRPr="0035677A" w:rsidRDefault="0035677A"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风险加权资产</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1E4FC9">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3</w:t>
            </w:r>
            <w:r w:rsidR="001E4FC9">
              <w:rPr>
                <w:rFonts w:ascii="微软雅黑" w:eastAsia="微软雅黑" w:hAnsi="微软雅黑" w:cs="Arial"/>
                <w:color w:val="000000"/>
                <w:sz w:val="18"/>
                <w:szCs w:val="18"/>
              </w:rPr>
              <w:t>28.79</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343.62</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365.69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391.76</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Pr="00D50639"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383.27</w:t>
            </w:r>
          </w:p>
        </w:tc>
      </w:tr>
      <w:tr w:rsidR="0035677A"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35677A" w:rsidRDefault="0035677A" w:rsidP="00822647">
            <w:pPr>
              <w:widowControl/>
              <w:jc w:val="left"/>
              <w:textAlignment w:val="top"/>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资本充足率</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35677A" w:rsidRDefault="0035677A" w:rsidP="00822647">
            <w:pPr>
              <w:widowControl/>
              <w:jc w:val="righ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5</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核心一级资本充足率（%）</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1E4FC9">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w:t>
            </w:r>
            <w:r w:rsidR="001E4FC9">
              <w:rPr>
                <w:rFonts w:ascii="微软雅黑" w:eastAsia="微软雅黑" w:hAnsi="微软雅黑" w:cs="Arial"/>
                <w:color w:val="000000"/>
                <w:sz w:val="18"/>
                <w:szCs w:val="18"/>
              </w:rPr>
              <w:t>9.55</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18.39</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17.08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15.52</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15.85</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6</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一级资本充足率（%）</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1E4FC9"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w:t>
            </w:r>
            <w:r>
              <w:rPr>
                <w:rFonts w:ascii="微软雅黑" w:eastAsia="微软雅黑" w:hAnsi="微软雅黑" w:cs="Arial"/>
                <w:color w:val="000000"/>
                <w:sz w:val="18"/>
                <w:szCs w:val="18"/>
              </w:rPr>
              <w:t>9.55</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18.39</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17.08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15.52</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15.85</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7</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资本充足率（%）</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1E4FC9" w:rsidP="00822647">
            <w:pPr>
              <w:jc w:val="center"/>
              <w:rPr>
                <w:rFonts w:ascii="微软雅黑" w:eastAsia="微软雅黑" w:hAnsi="微软雅黑" w:cs="Arial"/>
                <w:color w:val="000000"/>
                <w:sz w:val="18"/>
                <w:szCs w:val="18"/>
              </w:rPr>
            </w:pPr>
            <w:r>
              <w:rPr>
                <w:rFonts w:ascii="微软雅黑" w:eastAsia="微软雅黑" w:hAnsi="微软雅黑" w:cs="Arial"/>
                <w:color w:val="000000"/>
                <w:sz w:val="18"/>
                <w:szCs w:val="18"/>
              </w:rPr>
              <w:t>20.34</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19.43</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18.29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16.74</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17.07</w:t>
            </w:r>
          </w:p>
        </w:tc>
      </w:tr>
      <w:tr w:rsidR="00027928"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027928" w:rsidRDefault="00027928" w:rsidP="00822647">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其他各级资本要求</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027928" w:rsidRDefault="00027928"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8</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储备资本要求（%）</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2.50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2.50</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9</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逆周期资本要求（%）</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0.00</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0.00</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0.00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0.00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0.00</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10</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全球系统重要性银行或国内系统重要性银行附加资本要求（%）</w:t>
            </w:r>
          </w:p>
        </w:tc>
        <w:tc>
          <w:tcPr>
            <w:tcW w:w="1066" w:type="dxa"/>
            <w:tcBorders>
              <w:top w:val="single" w:sz="4" w:space="0" w:color="000000"/>
              <w:left w:val="single" w:sz="4" w:space="0" w:color="000000"/>
              <w:bottom w:val="single" w:sz="4" w:space="0" w:color="000000"/>
              <w:right w:val="single" w:sz="4" w:space="0" w:color="000000"/>
            </w:tcBorders>
            <w:shd w:val="pct20" w:color="auto" w:fill="auto"/>
            <w:vAlign w:val="center"/>
          </w:tcPr>
          <w:p w:rsidR="00822647" w:rsidRPr="00302A49" w:rsidRDefault="00822647" w:rsidP="00822647">
            <w:pPr>
              <w:rPr>
                <w:rFonts w:ascii="微软雅黑" w:eastAsia="微软雅黑" w:hAnsi="微软雅黑" w:cs="微软雅黑"/>
                <w:color w:val="D0CECE" w:themeColor="background2" w:themeShade="E6"/>
                <w:sz w:val="18"/>
                <w:szCs w:val="18"/>
                <w:highlight w:val="lightGray"/>
              </w:rPr>
            </w:pPr>
          </w:p>
        </w:tc>
        <w:tc>
          <w:tcPr>
            <w:tcW w:w="1013" w:type="dxa"/>
            <w:tcBorders>
              <w:top w:val="single" w:sz="4" w:space="0" w:color="000000"/>
              <w:left w:val="single" w:sz="4" w:space="0" w:color="000000"/>
              <w:bottom w:val="single" w:sz="4" w:space="0" w:color="000000"/>
              <w:right w:val="single" w:sz="4" w:space="0" w:color="000000"/>
            </w:tcBorders>
            <w:shd w:val="clear" w:color="auto" w:fill="BEBEBE"/>
          </w:tcPr>
          <w:p w:rsidR="00822647" w:rsidRPr="00DF7937" w:rsidRDefault="00822647" w:rsidP="00822647">
            <w:pPr>
              <w:rPr>
                <w:rFonts w:ascii="微软雅黑" w:eastAsia="微软雅黑" w:hAnsi="微软雅黑" w:cs="微软雅黑"/>
                <w:color w:val="000000"/>
                <w:sz w:val="18"/>
                <w:szCs w:val="18"/>
                <w:highlight w:val="darkGray"/>
              </w:rPr>
            </w:pPr>
          </w:p>
        </w:tc>
        <w:tc>
          <w:tcPr>
            <w:tcW w:w="1131" w:type="dxa"/>
            <w:tcBorders>
              <w:top w:val="single" w:sz="4" w:space="0" w:color="000000"/>
              <w:left w:val="single" w:sz="4" w:space="0" w:color="000000"/>
              <w:bottom w:val="single" w:sz="4" w:space="0" w:color="000000"/>
              <w:right w:val="single" w:sz="4" w:space="0" w:color="000000"/>
            </w:tcBorders>
            <w:shd w:val="clear" w:color="auto" w:fill="BEBEBE"/>
          </w:tcPr>
          <w:p w:rsidR="00822647" w:rsidRPr="00DF7937" w:rsidRDefault="00822647" w:rsidP="00822647">
            <w:pPr>
              <w:rPr>
                <w:rFonts w:ascii="微软雅黑" w:eastAsia="微软雅黑" w:hAnsi="微软雅黑" w:cs="微软雅黑"/>
                <w:color w:val="000000"/>
                <w:sz w:val="18"/>
                <w:szCs w:val="18"/>
                <w:highlight w:val="darkGray"/>
              </w:rPr>
            </w:pPr>
          </w:p>
        </w:tc>
        <w:tc>
          <w:tcPr>
            <w:tcW w:w="990" w:type="dxa"/>
            <w:tcBorders>
              <w:top w:val="single" w:sz="4" w:space="0" w:color="000000"/>
              <w:left w:val="single" w:sz="4" w:space="0" w:color="000000"/>
              <w:bottom w:val="single" w:sz="4" w:space="0" w:color="000000"/>
              <w:right w:val="single" w:sz="4" w:space="0" w:color="000000"/>
            </w:tcBorders>
            <w:shd w:val="clear" w:color="auto" w:fill="BEBEBE"/>
            <w:vAlign w:val="center"/>
          </w:tcPr>
          <w:p w:rsidR="00822647" w:rsidRPr="00DF7937" w:rsidRDefault="00822647" w:rsidP="00822647">
            <w:pPr>
              <w:rPr>
                <w:rFonts w:ascii="微软雅黑" w:eastAsia="微软雅黑" w:hAnsi="微软雅黑" w:cs="微软雅黑"/>
                <w:color w:val="000000"/>
                <w:sz w:val="18"/>
                <w:szCs w:val="18"/>
                <w:highlight w:val="darkGray"/>
              </w:rPr>
            </w:pPr>
          </w:p>
        </w:tc>
        <w:tc>
          <w:tcPr>
            <w:tcW w:w="1008" w:type="dxa"/>
            <w:tcBorders>
              <w:top w:val="single" w:sz="4" w:space="0" w:color="000000"/>
              <w:left w:val="single" w:sz="4" w:space="0" w:color="000000"/>
              <w:bottom w:val="single" w:sz="4" w:space="0" w:color="000000"/>
              <w:right w:val="single" w:sz="4" w:space="0" w:color="000000"/>
            </w:tcBorders>
            <w:shd w:val="clear" w:color="auto" w:fill="BEBEBE"/>
            <w:vAlign w:val="center"/>
          </w:tcPr>
          <w:p w:rsidR="00822647" w:rsidRPr="00DF7937" w:rsidRDefault="00822647" w:rsidP="00822647">
            <w:pPr>
              <w:rPr>
                <w:rFonts w:ascii="微软雅黑" w:eastAsia="微软雅黑" w:hAnsi="微软雅黑" w:cs="微软雅黑"/>
                <w:color w:val="000000"/>
                <w:sz w:val="18"/>
                <w:szCs w:val="18"/>
                <w:highlight w:val="darkGray"/>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11</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其他各级资本要求（%）（8+9+10）</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2.50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2.50</w:t>
            </w:r>
          </w:p>
        </w:tc>
      </w:tr>
      <w:tr w:rsidR="00822647" w:rsidTr="00BF22EB">
        <w:trPr>
          <w:trHeight w:val="60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12</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满足最低资本要求后的可用核心一级资本净额</w:t>
            </w:r>
            <w:proofErr w:type="gramStart"/>
            <w:r>
              <w:rPr>
                <w:rFonts w:ascii="微软雅黑" w:eastAsia="微软雅黑" w:hAnsi="微软雅黑" w:cs="微软雅黑" w:hint="eastAsia"/>
                <w:color w:val="000000"/>
                <w:kern w:val="0"/>
                <w:sz w:val="18"/>
                <w:szCs w:val="18"/>
                <w:lang w:bidi="ar"/>
              </w:rPr>
              <w:t>占风险</w:t>
            </w:r>
            <w:proofErr w:type="gramEnd"/>
            <w:r>
              <w:rPr>
                <w:rFonts w:ascii="微软雅黑" w:eastAsia="微软雅黑" w:hAnsi="微软雅黑" w:cs="微软雅黑" w:hint="eastAsia"/>
                <w:color w:val="000000"/>
                <w:kern w:val="0"/>
                <w:sz w:val="18"/>
                <w:szCs w:val="18"/>
                <w:lang w:bidi="ar"/>
              </w:rPr>
              <w:t>加权资产的比例（%）</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1E4FC9">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1</w:t>
            </w:r>
            <w:r w:rsidR="001E4FC9">
              <w:rPr>
                <w:rFonts w:ascii="微软雅黑" w:eastAsia="微软雅黑" w:hAnsi="微软雅黑" w:cs="微软雅黑"/>
                <w:color w:val="000000"/>
                <w:kern w:val="0"/>
                <w:sz w:val="18"/>
                <w:szCs w:val="18"/>
                <w:lang w:bidi="ar"/>
              </w:rPr>
              <w:t>2.34</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11.43</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10.29</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color w:val="000000"/>
                <w:kern w:val="0"/>
                <w:sz w:val="18"/>
                <w:szCs w:val="18"/>
                <w:lang w:bidi="ar"/>
              </w:rPr>
              <w:t>8.74</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color w:val="000000"/>
                <w:kern w:val="0"/>
                <w:sz w:val="18"/>
                <w:szCs w:val="18"/>
                <w:lang w:bidi="ar"/>
              </w:rPr>
              <w:t>9.07</w:t>
            </w:r>
          </w:p>
        </w:tc>
      </w:tr>
      <w:tr w:rsidR="00F07A6B"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F07A6B" w:rsidRDefault="00F07A6B" w:rsidP="00822647">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杠杆率</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F07A6B" w:rsidRDefault="00F07A6B"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13</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调整后表内外资产余额</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7C23F4">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43</w:t>
            </w:r>
            <w:r w:rsidR="007C23F4">
              <w:rPr>
                <w:rFonts w:ascii="微软雅黑" w:eastAsia="微软雅黑" w:hAnsi="微软雅黑" w:cs="Arial"/>
                <w:color w:val="000000"/>
                <w:sz w:val="18"/>
                <w:szCs w:val="18"/>
              </w:rPr>
              <w:t>8.41</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433.14</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493.79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51</w:t>
            </w:r>
            <w:r>
              <w:rPr>
                <w:rFonts w:ascii="微软雅黑" w:eastAsia="微软雅黑" w:hAnsi="微软雅黑" w:cs="Arial"/>
                <w:color w:val="000000"/>
                <w:sz w:val="18"/>
                <w:szCs w:val="18"/>
              </w:rPr>
              <w:t>6.44</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rPr>
                <w:rFonts w:ascii="微软雅黑" w:eastAsia="微软雅黑" w:hAnsi="微软雅黑" w:cs="Arial"/>
                <w:color w:val="000000"/>
                <w:kern w:val="0"/>
                <w:sz w:val="18"/>
                <w:szCs w:val="18"/>
              </w:rPr>
            </w:pPr>
            <w:r>
              <w:rPr>
                <w:rFonts w:ascii="微软雅黑" w:eastAsia="微软雅黑" w:hAnsi="微软雅黑" w:cs="Arial" w:hint="eastAsia"/>
                <w:color w:val="000000"/>
                <w:sz w:val="18"/>
                <w:szCs w:val="18"/>
              </w:rPr>
              <w:t>515.75</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14</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杠杆率（%）</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7C23F4">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14.</w:t>
            </w:r>
            <w:r w:rsidR="007C23F4">
              <w:rPr>
                <w:rFonts w:ascii="微软雅黑" w:eastAsia="微软雅黑" w:hAnsi="微软雅黑" w:cs="Arial"/>
                <w:color w:val="000000"/>
                <w:sz w:val="18"/>
                <w:szCs w:val="18"/>
              </w:rPr>
              <w:t>66</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14.59</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12.65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11.7</w:t>
            </w:r>
            <w:r>
              <w:rPr>
                <w:rFonts w:ascii="微软雅黑" w:eastAsia="微软雅黑" w:hAnsi="微软雅黑" w:cs="Arial"/>
                <w:color w:val="000000"/>
                <w:sz w:val="18"/>
                <w:szCs w:val="18"/>
              </w:rPr>
              <w:t>7</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11.78</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14a</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杠杆率a（%）</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7C23F4">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14.</w:t>
            </w:r>
            <w:r w:rsidR="007C23F4">
              <w:rPr>
                <w:rFonts w:ascii="微软雅黑" w:eastAsia="微软雅黑" w:hAnsi="微软雅黑" w:cs="Arial"/>
                <w:color w:val="000000"/>
                <w:sz w:val="18"/>
                <w:szCs w:val="18"/>
              </w:rPr>
              <w:t>66</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14.59</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12.65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11.7</w:t>
            </w:r>
            <w:r>
              <w:rPr>
                <w:rFonts w:ascii="微软雅黑" w:eastAsia="微软雅黑" w:hAnsi="微软雅黑" w:cs="Arial"/>
                <w:color w:val="000000"/>
                <w:sz w:val="18"/>
                <w:szCs w:val="18"/>
              </w:rPr>
              <w:t>7</w:t>
            </w:r>
          </w:p>
        </w:tc>
        <w:tc>
          <w:tcPr>
            <w:tcW w:w="1008"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jc w:val="center"/>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11.78</w:t>
            </w:r>
          </w:p>
        </w:tc>
      </w:tr>
      <w:tr w:rsidR="00F07A6B"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F07A6B" w:rsidRDefault="00F07A6B" w:rsidP="00822647">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lastRenderedPageBreak/>
              <w:t>流动性覆盖率</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F07A6B" w:rsidRDefault="00F07A6B"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15</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合格优质流动性资产</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16</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现金净流出量</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17</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流动性覆盖率（%）</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F0564D"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9D9D9"/>
          </w:tcPr>
          <w:p w:rsidR="00F0564D" w:rsidRDefault="00F0564D" w:rsidP="00822647">
            <w:pPr>
              <w:widowControl/>
              <w:jc w:val="left"/>
              <w:textAlignment w:val="top"/>
              <w:rPr>
                <w:rFonts w:ascii="微软雅黑" w:eastAsia="微软雅黑" w:hAnsi="微软雅黑" w:cs="微软雅黑"/>
                <w:b/>
                <w:bCs/>
                <w:color w:val="000000"/>
                <w:kern w:val="0"/>
                <w:sz w:val="18"/>
                <w:szCs w:val="18"/>
                <w:lang w:bidi="ar"/>
              </w:rPr>
            </w:pPr>
            <w:proofErr w:type="gramStart"/>
            <w:r>
              <w:rPr>
                <w:rFonts w:ascii="微软雅黑" w:eastAsia="微软雅黑" w:hAnsi="微软雅黑" w:cs="微软雅黑" w:hint="eastAsia"/>
                <w:b/>
                <w:bCs/>
                <w:color w:val="000000"/>
                <w:kern w:val="0"/>
                <w:sz w:val="18"/>
                <w:szCs w:val="18"/>
                <w:lang w:bidi="ar"/>
              </w:rPr>
              <w:t>净稳定</w:t>
            </w:r>
            <w:proofErr w:type="gramEnd"/>
            <w:r>
              <w:rPr>
                <w:rFonts w:ascii="微软雅黑" w:eastAsia="微软雅黑" w:hAnsi="微软雅黑" w:cs="微软雅黑" w:hint="eastAsia"/>
                <w:b/>
                <w:bCs/>
                <w:color w:val="000000"/>
                <w:kern w:val="0"/>
                <w:sz w:val="18"/>
                <w:szCs w:val="18"/>
                <w:lang w:bidi="ar"/>
              </w:rPr>
              <w:t>资金比例</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9D9D9"/>
          </w:tcPr>
          <w:p w:rsidR="00F0564D" w:rsidRDefault="00F0564D"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18</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可用稳定资金合计</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19</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所需稳定资金合计</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20</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净稳定资金比例（%）</w:t>
            </w:r>
          </w:p>
        </w:tc>
        <w:tc>
          <w:tcPr>
            <w:tcW w:w="1066"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13"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131"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990" w:type="dxa"/>
            <w:tcBorders>
              <w:top w:val="single" w:sz="4" w:space="0" w:color="000000"/>
              <w:left w:val="single" w:sz="4" w:space="0" w:color="000000"/>
              <w:bottom w:val="single" w:sz="4" w:space="0" w:color="000000"/>
              <w:right w:val="single" w:sz="4" w:space="0" w:color="000000"/>
            </w:tcBorders>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647" w:rsidRDefault="00822647" w:rsidP="00822647">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不适用</w:t>
            </w:r>
          </w:p>
        </w:tc>
      </w:tr>
      <w:tr w:rsidR="00977520" w:rsidTr="00BF22EB">
        <w:trPr>
          <w:trHeight w:val="420"/>
          <w:jc w:val="center"/>
        </w:trPr>
        <w:tc>
          <w:tcPr>
            <w:tcW w:w="2427" w:type="dxa"/>
            <w:gridSpan w:val="2"/>
            <w:tcBorders>
              <w:top w:val="single" w:sz="4" w:space="0" w:color="000000"/>
              <w:left w:val="single" w:sz="4" w:space="0" w:color="000000"/>
              <w:bottom w:val="single" w:sz="4" w:space="0" w:color="000000"/>
              <w:right w:val="single" w:sz="4" w:space="0" w:color="000000"/>
            </w:tcBorders>
            <w:shd w:val="clear" w:color="auto" w:fill="D8D8D8"/>
          </w:tcPr>
          <w:p w:rsidR="00977520" w:rsidRDefault="00977520" w:rsidP="00822647">
            <w:pPr>
              <w:widowControl/>
              <w:jc w:val="left"/>
              <w:textAlignment w:val="top"/>
              <w:rPr>
                <w:rFonts w:ascii="微软雅黑" w:eastAsia="微软雅黑" w:hAnsi="微软雅黑" w:cs="微软雅黑"/>
                <w:b/>
                <w:bCs/>
                <w:color w:val="000000"/>
                <w:kern w:val="0"/>
                <w:sz w:val="18"/>
                <w:szCs w:val="18"/>
                <w:lang w:bidi="ar"/>
              </w:rPr>
            </w:pPr>
            <w:r>
              <w:rPr>
                <w:rFonts w:ascii="微软雅黑" w:eastAsia="微软雅黑" w:hAnsi="微软雅黑" w:cs="微软雅黑" w:hint="eastAsia"/>
                <w:b/>
                <w:bCs/>
                <w:color w:val="000000"/>
                <w:kern w:val="0"/>
                <w:sz w:val="18"/>
                <w:szCs w:val="18"/>
                <w:lang w:bidi="ar"/>
              </w:rPr>
              <w:t>流动性比例</w:t>
            </w:r>
          </w:p>
        </w:tc>
        <w:tc>
          <w:tcPr>
            <w:tcW w:w="5208" w:type="dxa"/>
            <w:gridSpan w:val="5"/>
            <w:tcBorders>
              <w:top w:val="single" w:sz="4" w:space="0" w:color="000000"/>
              <w:left w:val="single" w:sz="4" w:space="0" w:color="000000"/>
              <w:bottom w:val="single" w:sz="4" w:space="0" w:color="000000"/>
              <w:right w:val="single" w:sz="4" w:space="0" w:color="000000"/>
            </w:tcBorders>
            <w:shd w:val="clear" w:color="auto" w:fill="D8D8D8"/>
          </w:tcPr>
          <w:p w:rsidR="00977520" w:rsidRDefault="00977520" w:rsidP="00822647">
            <w:pPr>
              <w:widowControl/>
              <w:jc w:val="left"/>
              <w:textAlignment w:val="top"/>
              <w:rPr>
                <w:rFonts w:ascii="微软雅黑" w:eastAsia="微软雅黑" w:hAnsi="微软雅黑" w:cs="微软雅黑"/>
                <w:b/>
                <w:bCs/>
                <w:color w:val="000000"/>
                <w:kern w:val="0"/>
                <w:sz w:val="18"/>
                <w:szCs w:val="18"/>
                <w:lang w:bidi="ar"/>
              </w:rPr>
            </w:pPr>
          </w:p>
        </w:tc>
      </w:tr>
      <w:tr w:rsidR="00822647" w:rsidTr="00BF22EB">
        <w:trPr>
          <w:trHeight w:val="420"/>
          <w:jc w:val="center"/>
        </w:trPr>
        <w:tc>
          <w:tcPr>
            <w:tcW w:w="5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21</w:t>
            </w:r>
          </w:p>
        </w:tc>
        <w:tc>
          <w:tcPr>
            <w:tcW w:w="18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Default="00822647" w:rsidP="00822647">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流动性比例（%）</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Default="007C23F4"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color w:val="000000"/>
                <w:kern w:val="0"/>
                <w:sz w:val="18"/>
                <w:szCs w:val="18"/>
                <w:lang w:bidi="ar"/>
              </w:rPr>
              <w:t>75.65</w:t>
            </w:r>
          </w:p>
        </w:tc>
        <w:tc>
          <w:tcPr>
            <w:tcW w:w="10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Default="00822647" w:rsidP="00822647">
            <w:pPr>
              <w:widowControl/>
              <w:ind w:firstLineChars="50" w:firstLine="90"/>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58.63</w:t>
            </w:r>
          </w:p>
        </w:tc>
        <w:tc>
          <w:tcPr>
            <w:tcW w:w="11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62.05</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Pr="00BF4771"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48.17</w:t>
            </w:r>
          </w:p>
        </w:tc>
        <w:tc>
          <w:tcPr>
            <w:tcW w:w="10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2647" w:rsidRPr="00D50639" w:rsidRDefault="00822647" w:rsidP="00822647">
            <w:pPr>
              <w:widowControl/>
              <w:jc w:val="center"/>
              <w:textAlignment w:val="center"/>
              <w:rPr>
                <w:rFonts w:ascii="微软雅黑" w:eastAsia="微软雅黑" w:hAnsi="微软雅黑" w:cs="微软雅黑"/>
                <w:color w:val="000000"/>
                <w:kern w:val="0"/>
                <w:sz w:val="18"/>
                <w:szCs w:val="18"/>
                <w:lang w:bidi="ar"/>
              </w:rPr>
            </w:pPr>
            <w:r>
              <w:rPr>
                <w:rFonts w:ascii="微软雅黑" w:eastAsia="微软雅黑" w:hAnsi="微软雅黑" w:cs="微软雅黑" w:hint="eastAsia"/>
                <w:color w:val="000000"/>
                <w:kern w:val="0"/>
                <w:sz w:val="18"/>
                <w:szCs w:val="18"/>
                <w:lang w:bidi="ar"/>
              </w:rPr>
              <w:t>59.72</w:t>
            </w:r>
          </w:p>
        </w:tc>
      </w:tr>
    </w:tbl>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p w:rsidR="00E34C3A" w:rsidRDefault="00E34C3A" w:rsidP="00D1381F">
      <w:pPr>
        <w:widowControl/>
        <w:spacing w:line="360" w:lineRule="auto"/>
        <w:jc w:val="left"/>
        <w:outlineLvl w:val="0"/>
        <w:rPr>
          <w:rFonts w:ascii="黑体" w:eastAsia="黑体" w:hAnsi="黑体" w:cs="黑体"/>
          <w:sz w:val="36"/>
          <w:szCs w:val="36"/>
        </w:rPr>
      </w:pPr>
    </w:p>
    <w:p w:rsidR="00D1381F" w:rsidRDefault="00D1381F" w:rsidP="00D1381F">
      <w:pPr>
        <w:widowControl/>
        <w:spacing w:line="360" w:lineRule="auto"/>
        <w:jc w:val="left"/>
        <w:outlineLvl w:val="0"/>
        <w:rPr>
          <w:rFonts w:ascii="黑体" w:eastAsia="黑体" w:hAnsi="黑体" w:cs="黑体"/>
          <w:sz w:val="36"/>
          <w:szCs w:val="36"/>
        </w:rPr>
      </w:pPr>
    </w:p>
    <w:bookmarkStart w:id="5" w:name="_Toc173232669"/>
    <w:bookmarkStart w:id="6" w:name="_Toc236149885"/>
    <w:p w:rsidR="00D1381F" w:rsidRPr="00FB2FF1" w:rsidRDefault="00AC2118" w:rsidP="00D1381F">
      <w:pPr>
        <w:widowControl/>
        <w:spacing w:line="360" w:lineRule="auto"/>
        <w:jc w:val="left"/>
        <w:outlineLvl w:val="0"/>
        <w:rPr>
          <w:rFonts w:ascii="黑体" w:eastAsia="黑体" w:hAnsi="黑体" w:cs="黑体"/>
          <w:sz w:val="36"/>
          <w:szCs w:val="36"/>
        </w:rPr>
      </w:pPr>
      <w:sdt>
        <w:sdtPr>
          <w:rPr>
            <w:rFonts w:ascii="黑体" w:eastAsia="黑体" w:hAnsi="黑体" w:cs="黑体"/>
            <w:sz w:val="36"/>
            <w:szCs w:val="36"/>
          </w:rPr>
          <w:id w:val="-1645117625"/>
          <w:placeholder>
            <w:docPart w:val="4142525AA29645EBBB3DBE64E105E491"/>
          </w:placeholder>
          <w15:color w:val="509DF3"/>
        </w:sdtPr>
        <w:sdtEndPr/>
        <w:sdtContent>
          <w:r w:rsidR="00D1381F" w:rsidRPr="00FB2FF1">
            <w:rPr>
              <w:rFonts w:ascii="黑体" w:eastAsia="黑体" w:hAnsi="黑体" w:cs="黑体"/>
              <w:sz w:val="36"/>
              <w:szCs w:val="36"/>
            </w:rPr>
            <w:t>3</w:t>
          </w:r>
          <w:r w:rsidR="00D1381F" w:rsidRPr="00FB2FF1">
            <w:rPr>
              <w:rFonts w:ascii="黑体" w:eastAsia="黑体" w:hAnsi="黑体" w:cs="黑体" w:hint="eastAsia"/>
              <w:bCs/>
              <w:color w:val="000000"/>
              <w:kern w:val="0"/>
              <w:sz w:val="36"/>
              <w:szCs w:val="36"/>
              <w:lang w:bidi="ar"/>
            </w:rPr>
            <w:t>资本构成</w:t>
          </w:r>
        </w:sdtContent>
      </w:sdt>
      <w:bookmarkEnd w:id="5"/>
      <w:bookmarkEnd w:id="6"/>
    </w:p>
    <w:p w:rsidR="00D1381F" w:rsidRDefault="00D1381F" w:rsidP="00D1381F">
      <w:pPr>
        <w:widowControl/>
        <w:spacing w:line="360" w:lineRule="auto"/>
        <w:ind w:firstLineChars="200" w:firstLine="482"/>
        <w:jc w:val="left"/>
        <w:rPr>
          <w:rFonts w:ascii="宋体" w:eastAsia="宋体" w:hAnsi="宋体" w:cs="宋体"/>
          <w:b/>
          <w:color w:val="000000"/>
          <w:kern w:val="0"/>
          <w:sz w:val="24"/>
          <w:lang w:bidi="ar"/>
        </w:rPr>
      </w:pPr>
      <w:r w:rsidRPr="000D1726">
        <w:rPr>
          <w:rFonts w:ascii="宋体" w:eastAsia="宋体" w:hAnsi="宋体" w:cs="宋体" w:hint="eastAsia"/>
          <w:b/>
          <w:color w:val="000000"/>
          <w:kern w:val="0"/>
          <w:sz w:val="24"/>
          <w:lang w:bidi="ar"/>
        </w:rPr>
        <w:t>表格CC1：资本</w:t>
      </w:r>
      <w:r w:rsidRPr="000D1726">
        <w:rPr>
          <w:rFonts w:ascii="宋体" w:eastAsia="宋体" w:hAnsi="宋体" w:cs="宋体"/>
          <w:b/>
          <w:color w:val="000000"/>
          <w:kern w:val="0"/>
          <w:sz w:val="24"/>
          <w:lang w:bidi="ar"/>
        </w:rPr>
        <w:t>构成</w:t>
      </w:r>
    </w:p>
    <w:p w:rsidR="00D1381F" w:rsidRPr="00B42DB2" w:rsidRDefault="00D1381F" w:rsidP="00D1381F">
      <w:pPr>
        <w:widowControl/>
        <w:spacing w:line="360" w:lineRule="auto"/>
        <w:ind w:firstLineChars="200" w:firstLine="482"/>
        <w:jc w:val="left"/>
        <w:rPr>
          <w:rFonts w:ascii="宋体" w:eastAsia="宋体" w:hAnsi="宋体" w:cs="宋体"/>
          <w:color w:val="000000"/>
          <w:kern w:val="0"/>
          <w:sz w:val="20"/>
          <w:szCs w:val="20"/>
          <w:lang w:bidi="ar"/>
        </w:rPr>
      </w:pPr>
      <w:r>
        <w:rPr>
          <w:rFonts w:ascii="宋体" w:eastAsia="宋体" w:hAnsi="宋体" w:cs="宋体" w:hint="eastAsia"/>
          <w:b/>
          <w:color w:val="000000"/>
          <w:kern w:val="0"/>
          <w:sz w:val="24"/>
          <w:lang w:bidi="ar"/>
        </w:rPr>
        <w:t xml:space="preserve">                                     </w:t>
      </w:r>
      <w:r w:rsidRPr="00B42DB2">
        <w:rPr>
          <w:rFonts w:ascii="宋体" w:eastAsia="宋体" w:hAnsi="宋体" w:cs="宋体" w:hint="eastAsia"/>
          <w:color w:val="000000"/>
          <w:kern w:val="0"/>
          <w:sz w:val="20"/>
          <w:szCs w:val="20"/>
          <w:lang w:bidi="ar"/>
        </w:rPr>
        <w:t>单位：人民币亿元，百分比除外</w:t>
      </w:r>
    </w:p>
    <w:tbl>
      <w:tblPr>
        <w:tblW w:w="7933" w:type="dxa"/>
        <w:tblInd w:w="108" w:type="dxa"/>
        <w:tblLook w:val="04A0" w:firstRow="1" w:lastRow="0" w:firstColumn="1" w:lastColumn="0" w:noHBand="0" w:noVBand="1"/>
      </w:tblPr>
      <w:tblGrid>
        <w:gridCol w:w="600"/>
        <w:gridCol w:w="4362"/>
        <w:gridCol w:w="1559"/>
        <w:gridCol w:w="1412"/>
      </w:tblGrid>
      <w:tr w:rsidR="00D1381F" w:rsidRPr="00B837DE" w:rsidTr="001F2313">
        <w:trPr>
          <w:trHeight w:val="270"/>
        </w:trPr>
        <w:tc>
          <w:tcPr>
            <w:tcW w:w="600" w:type="dxa"/>
            <w:tcBorders>
              <w:top w:val="nil"/>
              <w:left w:val="nil"/>
              <w:bottom w:val="single" w:sz="4" w:space="0" w:color="auto"/>
              <w:right w:val="nil"/>
            </w:tcBorders>
            <w:shd w:val="clear" w:color="auto" w:fill="auto"/>
            <w:noWrap/>
            <w:vAlign w:val="center"/>
            <w:hideMark/>
          </w:tcPr>
          <w:p w:rsidR="00D1381F" w:rsidRPr="00B837DE" w:rsidRDefault="00D1381F" w:rsidP="00EF17C3">
            <w:pPr>
              <w:widowControl/>
              <w:jc w:val="left"/>
              <w:rPr>
                <w:rFonts w:ascii="Times New Roman" w:eastAsia="Times New Roman" w:hAnsi="Times New Roman" w:cs="Times New Roman"/>
                <w:kern w:val="0"/>
                <w:sz w:val="20"/>
                <w:szCs w:val="20"/>
              </w:rPr>
            </w:pPr>
          </w:p>
        </w:tc>
        <w:tc>
          <w:tcPr>
            <w:tcW w:w="4362" w:type="dxa"/>
            <w:tcBorders>
              <w:top w:val="nil"/>
              <w:left w:val="nil"/>
              <w:bottom w:val="single" w:sz="4" w:space="0" w:color="auto"/>
              <w:right w:val="nil"/>
            </w:tcBorders>
            <w:shd w:val="clear" w:color="auto" w:fill="auto"/>
            <w:noWrap/>
            <w:vAlign w:val="center"/>
            <w:hideMark/>
          </w:tcPr>
          <w:p w:rsidR="00D1381F" w:rsidRPr="00B837DE" w:rsidRDefault="00D1381F" w:rsidP="00EF17C3">
            <w:pPr>
              <w:widowControl/>
              <w:jc w:val="left"/>
              <w:rPr>
                <w:rFonts w:ascii="Times New Roman" w:eastAsia="Times New Roman" w:hAnsi="Times New Roman" w:cs="Times New Roman"/>
                <w:kern w:val="0"/>
                <w:sz w:val="20"/>
                <w:szCs w:val="20"/>
              </w:rPr>
            </w:pPr>
          </w:p>
        </w:tc>
        <w:tc>
          <w:tcPr>
            <w:tcW w:w="1559" w:type="dxa"/>
            <w:tcBorders>
              <w:top w:val="nil"/>
              <w:left w:val="nil"/>
              <w:bottom w:val="single" w:sz="4" w:space="0" w:color="auto"/>
              <w:right w:val="nil"/>
            </w:tcBorders>
            <w:shd w:val="clear" w:color="auto" w:fill="auto"/>
            <w:noWrap/>
            <w:vAlign w:val="center"/>
            <w:hideMark/>
          </w:tcPr>
          <w:p w:rsidR="00D1381F" w:rsidRPr="00B837DE" w:rsidRDefault="00D1381F" w:rsidP="00D1381F">
            <w:pPr>
              <w:widowControl/>
              <w:ind w:right="270"/>
              <w:jc w:val="righ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202</w:t>
            </w:r>
            <w:r>
              <w:rPr>
                <w:rFonts w:ascii="微软雅黑" w:eastAsia="微软雅黑" w:hAnsi="微软雅黑" w:cs="Arial"/>
                <w:b/>
                <w:bCs/>
                <w:color w:val="000000"/>
                <w:kern w:val="0"/>
                <w:sz w:val="18"/>
                <w:szCs w:val="18"/>
              </w:rPr>
              <w:t>6</w:t>
            </w:r>
            <w:r w:rsidRPr="00B837DE">
              <w:rPr>
                <w:rFonts w:ascii="微软雅黑" w:eastAsia="微软雅黑" w:hAnsi="微软雅黑" w:cs="Arial" w:hint="eastAsia"/>
                <w:b/>
                <w:bCs/>
                <w:color w:val="000000"/>
                <w:kern w:val="0"/>
                <w:sz w:val="18"/>
                <w:szCs w:val="18"/>
              </w:rPr>
              <w:t>-</w:t>
            </w:r>
            <w:r>
              <w:rPr>
                <w:rFonts w:ascii="微软雅黑" w:eastAsia="微软雅黑" w:hAnsi="微软雅黑" w:cs="Arial" w:hint="eastAsia"/>
                <w:b/>
                <w:bCs/>
                <w:color w:val="000000"/>
                <w:kern w:val="0"/>
                <w:sz w:val="18"/>
                <w:szCs w:val="18"/>
              </w:rPr>
              <w:t>6</w:t>
            </w:r>
            <w:r w:rsidRPr="00B837DE">
              <w:rPr>
                <w:rFonts w:ascii="微软雅黑" w:eastAsia="微软雅黑" w:hAnsi="微软雅黑" w:cs="Arial" w:hint="eastAsia"/>
                <w:b/>
                <w:bCs/>
                <w:color w:val="000000"/>
                <w:kern w:val="0"/>
                <w:sz w:val="18"/>
                <w:szCs w:val="18"/>
              </w:rPr>
              <w:t>-3</w:t>
            </w:r>
            <w:r>
              <w:rPr>
                <w:rFonts w:ascii="微软雅黑" w:eastAsia="微软雅黑" w:hAnsi="微软雅黑" w:cs="Arial" w:hint="eastAsia"/>
                <w:b/>
                <w:bCs/>
                <w:color w:val="000000"/>
                <w:kern w:val="0"/>
                <w:sz w:val="18"/>
                <w:szCs w:val="18"/>
              </w:rPr>
              <w:t>0</w:t>
            </w:r>
          </w:p>
        </w:tc>
        <w:tc>
          <w:tcPr>
            <w:tcW w:w="1412" w:type="dxa"/>
            <w:tcBorders>
              <w:top w:val="nil"/>
              <w:left w:val="nil"/>
              <w:bottom w:val="single" w:sz="4" w:space="0" w:color="auto"/>
              <w:right w:val="nil"/>
            </w:tcBorders>
            <w:shd w:val="clear" w:color="auto" w:fill="auto"/>
            <w:noWrap/>
            <w:vAlign w:val="center"/>
            <w:hideMark/>
          </w:tcPr>
          <w:p w:rsidR="00D1381F" w:rsidRPr="00B837DE" w:rsidRDefault="00D1381F" w:rsidP="00EF17C3">
            <w:pPr>
              <w:widowControl/>
              <w:jc w:val="right"/>
              <w:rPr>
                <w:rFonts w:ascii="微软雅黑" w:eastAsia="微软雅黑" w:hAnsi="微软雅黑" w:cs="Arial"/>
                <w:b/>
                <w:bCs/>
                <w:color w:val="000000"/>
                <w:kern w:val="0"/>
                <w:sz w:val="18"/>
                <w:szCs w:val="18"/>
              </w:rPr>
            </w:pPr>
          </w:p>
        </w:tc>
      </w:tr>
      <w:tr w:rsidR="00D1381F" w:rsidRPr="00B837DE" w:rsidTr="001F2313">
        <w:trPr>
          <w:trHeight w:val="285"/>
        </w:trPr>
        <w:tc>
          <w:tcPr>
            <w:tcW w:w="4962" w:type="dxa"/>
            <w:gridSpan w:val="2"/>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Times New Roman" w:eastAsia="Times New Roman" w:hAnsi="Times New Roman" w:cs="Times New Roman"/>
                <w:kern w:val="0"/>
                <w:sz w:val="20"/>
                <w:szCs w:val="20"/>
              </w:rPr>
            </w:pPr>
          </w:p>
        </w:tc>
        <w:tc>
          <w:tcPr>
            <w:tcW w:w="1559" w:type="dxa"/>
            <w:tcBorders>
              <w:top w:val="single" w:sz="4" w:space="0" w:color="auto"/>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a</w:t>
            </w:r>
          </w:p>
        </w:tc>
        <w:tc>
          <w:tcPr>
            <w:tcW w:w="1412" w:type="dxa"/>
            <w:tcBorders>
              <w:top w:val="single" w:sz="4" w:space="0" w:color="auto"/>
              <w:left w:val="nil"/>
              <w:bottom w:val="single" w:sz="8" w:space="0" w:color="000000"/>
              <w:right w:val="single" w:sz="4" w:space="0" w:color="auto"/>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b</w:t>
            </w:r>
          </w:p>
        </w:tc>
      </w:tr>
      <w:tr w:rsidR="00D1381F" w:rsidRPr="00B837DE" w:rsidTr="001F2313">
        <w:trPr>
          <w:trHeight w:val="285"/>
        </w:trPr>
        <w:tc>
          <w:tcPr>
            <w:tcW w:w="4962" w:type="dxa"/>
            <w:gridSpan w:val="2"/>
            <w:vMerge/>
            <w:tcBorders>
              <w:top w:val="nil"/>
              <w:left w:val="single" w:sz="4" w:space="0" w:color="auto"/>
              <w:bottom w:val="single" w:sz="8" w:space="0" w:color="000000"/>
              <w:right w:val="single" w:sz="8" w:space="0" w:color="000000"/>
            </w:tcBorders>
            <w:vAlign w:val="center"/>
            <w:hideMark/>
          </w:tcPr>
          <w:p w:rsidR="00D1381F" w:rsidRPr="00B837DE" w:rsidRDefault="00D1381F" w:rsidP="00EF17C3">
            <w:pPr>
              <w:widowControl/>
              <w:jc w:val="left"/>
              <w:rPr>
                <w:rFonts w:ascii="Times New Roman" w:eastAsia="Times New Roman" w:hAnsi="Times New Roman" w:cs="Times New Roman"/>
                <w:kern w:val="0"/>
                <w:sz w:val="20"/>
                <w:szCs w:val="20"/>
              </w:rPr>
            </w:pPr>
          </w:p>
        </w:tc>
        <w:tc>
          <w:tcPr>
            <w:tcW w:w="1559"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数额</w:t>
            </w:r>
          </w:p>
        </w:tc>
        <w:tc>
          <w:tcPr>
            <w:tcW w:w="1412" w:type="dxa"/>
            <w:tcBorders>
              <w:top w:val="nil"/>
              <w:left w:val="nil"/>
              <w:bottom w:val="single" w:sz="8" w:space="0" w:color="000000"/>
              <w:right w:val="single" w:sz="4" w:space="0" w:color="auto"/>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代码</w:t>
            </w: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核心一级资本</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79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实收资本和资本</w:t>
            </w:r>
            <w:proofErr w:type="gramStart"/>
            <w:r w:rsidRPr="00B837DE">
              <w:rPr>
                <w:rFonts w:ascii="微软雅黑" w:eastAsia="微软雅黑" w:hAnsi="微软雅黑" w:cs="Arial" w:hint="eastAsia"/>
                <w:color w:val="000000"/>
                <w:kern w:val="0"/>
                <w:sz w:val="18"/>
                <w:szCs w:val="18"/>
              </w:rPr>
              <w:t>公积可计入</w:t>
            </w:r>
            <w:proofErr w:type="gramEnd"/>
            <w:r w:rsidRPr="00B837DE">
              <w:rPr>
                <w:rFonts w:ascii="微软雅黑" w:eastAsia="微软雅黑" w:hAnsi="微软雅黑" w:cs="Arial" w:hint="eastAsia"/>
                <w:color w:val="000000"/>
                <w:kern w:val="0"/>
                <w:sz w:val="18"/>
                <w:szCs w:val="18"/>
              </w:rPr>
              <w:t>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53.00 </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roofErr w:type="spellStart"/>
            <w:r w:rsidRPr="00B837DE">
              <w:rPr>
                <w:rFonts w:ascii="微软雅黑" w:eastAsia="微软雅黑" w:hAnsi="微软雅黑" w:cs="Arial" w:hint="eastAsia"/>
                <w:color w:val="000000"/>
                <w:kern w:val="0"/>
                <w:sz w:val="18"/>
                <w:szCs w:val="18"/>
              </w:rPr>
              <w:t>e+g</w:t>
            </w:r>
            <w:proofErr w:type="spellEnd"/>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留存收益</w:t>
            </w:r>
          </w:p>
        </w:tc>
        <w:tc>
          <w:tcPr>
            <w:tcW w:w="1559" w:type="dxa"/>
            <w:tcBorders>
              <w:top w:val="nil"/>
              <w:left w:val="nil"/>
              <w:bottom w:val="single" w:sz="8" w:space="0" w:color="000000"/>
              <w:right w:val="nil"/>
            </w:tcBorders>
            <w:shd w:val="clear" w:color="auto" w:fill="auto"/>
            <w:vAlign w:val="center"/>
            <w:hideMark/>
          </w:tcPr>
          <w:p w:rsidR="00D1381F" w:rsidRPr="00B837DE" w:rsidRDefault="000B6DB0"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12.34</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2a</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盈余公积</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0B6DB0">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w:t>
            </w:r>
            <w:r w:rsidR="000B6DB0">
              <w:rPr>
                <w:rFonts w:ascii="微软雅黑" w:eastAsia="微软雅黑" w:hAnsi="微软雅黑" w:cs="Arial"/>
                <w:color w:val="000000"/>
                <w:kern w:val="0"/>
                <w:sz w:val="18"/>
                <w:szCs w:val="18"/>
              </w:rPr>
              <w:t>98</w:t>
            </w:r>
            <w:r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h</w:t>
            </w: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2b</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一般风险准备</w:t>
            </w:r>
          </w:p>
        </w:tc>
        <w:tc>
          <w:tcPr>
            <w:tcW w:w="1559" w:type="dxa"/>
            <w:tcBorders>
              <w:top w:val="nil"/>
              <w:left w:val="nil"/>
              <w:bottom w:val="single" w:sz="8" w:space="0" w:color="000000"/>
              <w:right w:val="nil"/>
            </w:tcBorders>
            <w:shd w:val="clear" w:color="auto" w:fill="auto"/>
            <w:vAlign w:val="center"/>
            <w:hideMark/>
          </w:tcPr>
          <w:p w:rsidR="00D1381F" w:rsidRPr="00B837DE" w:rsidRDefault="000B6DB0"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1.03</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roofErr w:type="spellStart"/>
            <w:r w:rsidRPr="00B837DE">
              <w:rPr>
                <w:rFonts w:ascii="微软雅黑" w:eastAsia="微软雅黑" w:hAnsi="微软雅黑" w:cs="Arial" w:hint="eastAsia"/>
                <w:color w:val="000000"/>
                <w:kern w:val="0"/>
                <w:sz w:val="18"/>
                <w:szCs w:val="18"/>
              </w:rPr>
              <w:t>i</w:t>
            </w:r>
            <w:proofErr w:type="spellEnd"/>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2c</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未分配利润</w:t>
            </w:r>
          </w:p>
        </w:tc>
        <w:tc>
          <w:tcPr>
            <w:tcW w:w="1559" w:type="dxa"/>
            <w:tcBorders>
              <w:top w:val="nil"/>
              <w:left w:val="nil"/>
              <w:bottom w:val="single" w:sz="8" w:space="0" w:color="000000"/>
              <w:right w:val="nil"/>
            </w:tcBorders>
            <w:shd w:val="clear" w:color="auto" w:fill="auto"/>
            <w:vAlign w:val="center"/>
            <w:hideMark/>
          </w:tcPr>
          <w:p w:rsidR="00D1381F" w:rsidRPr="00B837DE" w:rsidRDefault="000B6DB0"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9.33</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j</w:t>
            </w: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累计其他综合收益</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少数股东资本可计入部分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扣除前的核心一级资本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23421F">
            <w:pPr>
              <w:widowControl/>
              <w:jc w:val="right"/>
              <w:rPr>
                <w:rFonts w:ascii="微软雅黑" w:eastAsia="微软雅黑" w:hAnsi="微软雅黑" w:cs="Arial"/>
                <w:color w:val="000000"/>
                <w:kern w:val="0"/>
                <w:sz w:val="18"/>
                <w:szCs w:val="18"/>
              </w:rPr>
            </w:pPr>
            <w:r>
              <w:rPr>
                <w:rFonts w:ascii="微软雅黑" w:eastAsia="微软雅黑" w:hAnsi="微软雅黑" w:cs="Arial" w:hint="eastAsia"/>
                <w:color w:val="000000"/>
                <w:kern w:val="0"/>
                <w:sz w:val="18"/>
                <w:szCs w:val="18"/>
              </w:rPr>
              <w:t>6</w:t>
            </w:r>
            <w:r w:rsidR="0023421F">
              <w:rPr>
                <w:rFonts w:ascii="微软雅黑" w:eastAsia="微软雅黑" w:hAnsi="微软雅黑" w:cs="Arial"/>
                <w:color w:val="000000"/>
                <w:kern w:val="0"/>
                <w:sz w:val="18"/>
                <w:szCs w:val="18"/>
              </w:rPr>
              <w:t>5.34</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b/>
                <w:bCs/>
                <w:color w:val="000000"/>
                <w:kern w:val="0"/>
                <w:sz w:val="18"/>
                <w:szCs w:val="18"/>
              </w:rPr>
              <w:t>核心一级资本：扣除项</w:t>
            </w:r>
            <w:r w:rsidRPr="00B837DE">
              <w:rPr>
                <w:rFonts w:ascii="微软雅黑" w:eastAsia="微软雅黑" w:hAnsi="微软雅黑" w:cs="Arial"/>
                <w:color w:val="000000"/>
                <w:kern w:val="0"/>
                <w:sz w:val="18"/>
                <w:szCs w:val="18"/>
              </w:rPr>
              <w:t xml:space="preserve">　</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审慎估值调整</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商誉（扣除</w:t>
            </w:r>
            <w:proofErr w:type="gramStart"/>
            <w:r w:rsidRPr="00B837DE">
              <w:rPr>
                <w:rFonts w:ascii="微软雅黑" w:eastAsia="微软雅黑" w:hAnsi="微软雅黑" w:cs="Arial" w:hint="eastAsia"/>
                <w:color w:val="000000"/>
                <w:kern w:val="0"/>
                <w:sz w:val="18"/>
                <w:szCs w:val="18"/>
              </w:rPr>
              <w:t>递延税负债</w:t>
            </w:r>
            <w:proofErr w:type="gramEnd"/>
            <w:r w:rsidRPr="00B837DE">
              <w:rPr>
                <w:rFonts w:ascii="微软雅黑" w:eastAsia="微软雅黑" w:hAnsi="微软雅黑" w:cs="Arial" w:hint="eastAsia"/>
                <w:color w:val="000000"/>
                <w:kern w:val="0"/>
                <w:sz w:val="18"/>
                <w:szCs w:val="18"/>
              </w:rPr>
              <w:t>）</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a-c</w:t>
            </w: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其他无形资产（土地使用权除外）（扣除</w:t>
            </w:r>
            <w:proofErr w:type="gramStart"/>
            <w:r w:rsidRPr="00B837DE">
              <w:rPr>
                <w:rFonts w:ascii="微软雅黑" w:eastAsia="微软雅黑" w:hAnsi="微软雅黑" w:cs="Arial" w:hint="eastAsia"/>
                <w:color w:val="000000"/>
                <w:kern w:val="0"/>
                <w:sz w:val="18"/>
                <w:szCs w:val="18"/>
              </w:rPr>
              <w:t>递延税负债</w:t>
            </w:r>
            <w:proofErr w:type="gramEnd"/>
            <w:r w:rsidRPr="00B837DE">
              <w:rPr>
                <w:rFonts w:ascii="微软雅黑" w:eastAsia="微软雅黑" w:hAnsi="微软雅黑" w:cs="Arial" w:hint="eastAsia"/>
                <w:color w:val="000000"/>
                <w:kern w:val="0"/>
                <w:sz w:val="18"/>
                <w:szCs w:val="18"/>
              </w:rPr>
              <w:t>）</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CD3A22">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r w:rsidR="00CD3A22">
              <w:rPr>
                <w:rFonts w:ascii="微软雅黑" w:eastAsia="微软雅黑" w:hAnsi="微软雅黑" w:cs="Arial"/>
                <w:color w:val="000000"/>
                <w:kern w:val="0"/>
                <w:sz w:val="18"/>
                <w:szCs w:val="18"/>
              </w:rPr>
              <w:t>74</w:t>
            </w:r>
            <w:r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b-d</w:t>
            </w: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依赖未来盈利的由经营亏损引起的</w:t>
            </w:r>
            <w:proofErr w:type="gramStart"/>
            <w:r w:rsidRPr="00B837DE">
              <w:rPr>
                <w:rFonts w:ascii="微软雅黑" w:eastAsia="微软雅黑" w:hAnsi="微软雅黑" w:cs="Arial" w:hint="eastAsia"/>
                <w:color w:val="000000"/>
                <w:kern w:val="0"/>
                <w:sz w:val="18"/>
                <w:szCs w:val="18"/>
              </w:rPr>
              <w:t>净递延税资产</w:t>
            </w:r>
            <w:proofErr w:type="gramEnd"/>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对未按公允价值计量的项目进行套期形成的现金流储备</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441"/>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损失准备缺口</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404"/>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资产证券化销售利得</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自身信用风险变化导致其负债公允价值变化带来的未实现损益</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确定受益类的养老金资产净额（扣除</w:t>
            </w:r>
            <w:proofErr w:type="gramStart"/>
            <w:r w:rsidRPr="00B837DE">
              <w:rPr>
                <w:rFonts w:ascii="微软雅黑" w:eastAsia="微软雅黑" w:hAnsi="微软雅黑" w:cs="Arial" w:hint="eastAsia"/>
                <w:color w:val="000000"/>
                <w:kern w:val="0"/>
                <w:sz w:val="18"/>
                <w:szCs w:val="18"/>
              </w:rPr>
              <w:t>递延税负债</w:t>
            </w:r>
            <w:proofErr w:type="gramEnd"/>
            <w:r w:rsidRPr="00B837DE">
              <w:rPr>
                <w:rFonts w:ascii="微软雅黑" w:eastAsia="微软雅黑" w:hAnsi="微软雅黑" w:cs="Arial" w:hint="eastAsia"/>
                <w:color w:val="000000"/>
                <w:kern w:val="0"/>
                <w:sz w:val="18"/>
                <w:szCs w:val="18"/>
              </w:rPr>
              <w:t>）</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直接或间接持有本银行的股票</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银行间或银行与其他金融机构间通过协议相互持有的核心一级资本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机构小额少数资本投资中的核心一级资本中应扣除金额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机构大额少数资本投资中的核心一级资本中应扣除金额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其他依赖于银行未来盈利的</w:t>
            </w:r>
            <w:proofErr w:type="gramStart"/>
            <w:r w:rsidRPr="00B837DE">
              <w:rPr>
                <w:rFonts w:ascii="微软雅黑" w:eastAsia="微软雅黑" w:hAnsi="微软雅黑" w:cs="Arial" w:hint="eastAsia"/>
                <w:color w:val="000000"/>
                <w:kern w:val="0"/>
                <w:sz w:val="18"/>
                <w:szCs w:val="18"/>
              </w:rPr>
              <w:t>净递延税资产</w:t>
            </w:r>
            <w:proofErr w:type="gramEnd"/>
            <w:r w:rsidRPr="00B837DE">
              <w:rPr>
                <w:rFonts w:ascii="微软雅黑" w:eastAsia="微软雅黑" w:hAnsi="微软雅黑" w:cs="Arial" w:hint="eastAsia"/>
                <w:color w:val="000000"/>
                <w:kern w:val="0"/>
                <w:sz w:val="18"/>
                <w:szCs w:val="18"/>
              </w:rPr>
              <w:t>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1040"/>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lastRenderedPageBreak/>
              <w:t>20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机构大额少数资本投资中的核心一级资本和其他依赖于银行未来盈利的</w:t>
            </w:r>
            <w:proofErr w:type="gramStart"/>
            <w:r w:rsidRPr="00B837DE">
              <w:rPr>
                <w:rFonts w:ascii="微软雅黑" w:eastAsia="微软雅黑" w:hAnsi="微软雅黑" w:cs="Arial" w:hint="eastAsia"/>
                <w:color w:val="000000"/>
                <w:kern w:val="0"/>
                <w:sz w:val="18"/>
                <w:szCs w:val="18"/>
              </w:rPr>
              <w:t>净递延税资产</w:t>
            </w:r>
            <w:proofErr w:type="gramEnd"/>
            <w:r w:rsidRPr="00B837DE">
              <w:rPr>
                <w:rFonts w:ascii="微软雅黑" w:eastAsia="微软雅黑" w:hAnsi="微软雅黑" w:cs="Arial" w:hint="eastAsia"/>
                <w:color w:val="000000"/>
                <w:kern w:val="0"/>
                <w:sz w:val="18"/>
                <w:szCs w:val="18"/>
              </w:rPr>
              <w:t>的未扣除部分超过核心一级资本15%的应扣除金额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其中：应在对金融机构大额少数资本投资中扣除的金额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780"/>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其中：应在其他依赖于银行未来盈利的</w:t>
            </w:r>
            <w:proofErr w:type="gramStart"/>
            <w:r w:rsidRPr="00B837DE">
              <w:rPr>
                <w:rFonts w:ascii="微软雅黑" w:eastAsia="微软雅黑" w:hAnsi="微软雅黑" w:cs="Arial" w:hint="eastAsia"/>
                <w:color w:val="000000"/>
                <w:kern w:val="0"/>
                <w:sz w:val="18"/>
                <w:szCs w:val="18"/>
              </w:rPr>
              <w:t>净递延税资产</w:t>
            </w:r>
            <w:proofErr w:type="gramEnd"/>
            <w:r w:rsidRPr="00B837DE">
              <w:rPr>
                <w:rFonts w:ascii="微软雅黑" w:eastAsia="微软雅黑" w:hAnsi="微软雅黑" w:cs="Arial" w:hint="eastAsia"/>
                <w:color w:val="000000"/>
                <w:kern w:val="0"/>
                <w:sz w:val="18"/>
                <w:szCs w:val="18"/>
              </w:rPr>
              <w:t>中扣除的金额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609"/>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其他应在核心一级资本中扣除的项目合计</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应从其他一级资本和二级资本中扣除的未扣缺口</w:t>
            </w:r>
          </w:p>
        </w:tc>
        <w:tc>
          <w:tcPr>
            <w:tcW w:w="1559" w:type="dxa"/>
            <w:tcBorders>
              <w:top w:val="nil"/>
              <w:left w:val="nil"/>
              <w:bottom w:val="single" w:sz="8" w:space="0" w:color="000000"/>
              <w:right w:val="nil"/>
            </w:tcBorders>
            <w:shd w:val="clear" w:color="auto" w:fill="auto"/>
            <w:vAlign w:val="center"/>
            <w:hideMark/>
          </w:tcPr>
          <w:p w:rsidR="00D1381F" w:rsidRPr="00B837DE" w:rsidRDefault="003F4EB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0.33</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核心一级资本扣除项总和</w:t>
            </w:r>
          </w:p>
        </w:tc>
        <w:tc>
          <w:tcPr>
            <w:tcW w:w="1559" w:type="dxa"/>
            <w:tcBorders>
              <w:top w:val="nil"/>
              <w:left w:val="nil"/>
              <w:bottom w:val="single" w:sz="8" w:space="0" w:color="000000"/>
              <w:right w:val="nil"/>
            </w:tcBorders>
            <w:shd w:val="clear" w:color="auto" w:fill="auto"/>
            <w:vAlign w:val="center"/>
            <w:hideMark/>
          </w:tcPr>
          <w:p w:rsidR="00D1381F" w:rsidRPr="00B837DE" w:rsidRDefault="003F4EB3" w:rsidP="003F4EB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1.07</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核心一级资本净额</w:t>
            </w:r>
          </w:p>
        </w:tc>
        <w:tc>
          <w:tcPr>
            <w:tcW w:w="1559" w:type="dxa"/>
            <w:tcBorders>
              <w:top w:val="nil"/>
              <w:left w:val="nil"/>
              <w:bottom w:val="single" w:sz="8" w:space="0" w:color="000000"/>
              <w:right w:val="nil"/>
            </w:tcBorders>
            <w:shd w:val="clear" w:color="auto" w:fill="auto"/>
            <w:vAlign w:val="center"/>
            <w:hideMark/>
          </w:tcPr>
          <w:p w:rsidR="00D1381F" w:rsidRPr="00B837DE" w:rsidRDefault="003F4EB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64.27</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其他一级资本</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其他一级资本工具及其溢价</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其中：权益部分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其中：负债部分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少数股东资本可计入部分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扣除前的其他一级资本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其他一级资本:扣除项</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直接或间接持有的本银行其他一级资本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银行间或银行与其他金融机构间通过协议相互持有的其他一级资本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机构小额少数资本投资中的其他一级资本中应扣除金额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机构大额少数资本投资中的其他一级资本中应扣除金额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其他应在其他一级资本中扣除的项目合计</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应从二级资本中扣除的未扣缺口</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623"/>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其他一级资本扣除项总和</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56"/>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39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其他一级资本净额</w:t>
            </w:r>
          </w:p>
        </w:tc>
        <w:tc>
          <w:tcPr>
            <w:tcW w:w="1559" w:type="dxa"/>
            <w:tcBorders>
              <w:top w:val="nil"/>
              <w:left w:val="nil"/>
              <w:bottom w:val="single" w:sz="8" w:space="0" w:color="000000"/>
              <w:right w:val="nil"/>
            </w:tcBorders>
            <w:shd w:val="clear" w:color="auto" w:fill="auto"/>
            <w:vAlign w:val="center"/>
            <w:hideMark/>
          </w:tcPr>
          <w:p w:rsidR="00D1381F" w:rsidRPr="00B837DE" w:rsidRDefault="001F231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377"/>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一级资本净额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93447A">
            <w:pPr>
              <w:widowControl/>
              <w:jc w:val="right"/>
              <w:rPr>
                <w:rFonts w:ascii="微软雅黑" w:eastAsia="微软雅黑" w:hAnsi="微软雅黑" w:cs="Arial"/>
                <w:color w:val="000000"/>
                <w:kern w:val="0"/>
                <w:sz w:val="18"/>
                <w:szCs w:val="18"/>
              </w:rPr>
            </w:pPr>
            <w:r>
              <w:rPr>
                <w:rFonts w:ascii="微软雅黑" w:eastAsia="微软雅黑" w:hAnsi="微软雅黑" w:cs="Arial" w:hint="eastAsia"/>
                <w:color w:val="000000"/>
                <w:kern w:val="0"/>
                <w:sz w:val="18"/>
                <w:szCs w:val="18"/>
              </w:rPr>
              <w:t>6</w:t>
            </w:r>
            <w:r w:rsidR="0093447A">
              <w:rPr>
                <w:rFonts w:ascii="微软雅黑" w:eastAsia="微软雅黑" w:hAnsi="微软雅黑" w:cs="Arial"/>
                <w:color w:val="000000"/>
                <w:kern w:val="0"/>
                <w:sz w:val="18"/>
                <w:szCs w:val="18"/>
              </w:rPr>
              <w:t>4.27</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二级资本</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二级资本工具及其溢价</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406"/>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少数股东资本可计入部分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超额损失准备可计入部分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93447A"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3.98</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扣除前的二级资本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93447A"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3.98</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lastRenderedPageBreak/>
              <w:t>二级资本：扣除项</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直接或间接持有的本银行的二级资本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银行间或银行与其他金融机构间通过协议相互持有的其他一级资本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79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机构小额少数资本投资中的二级资本中应扣除金额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D644A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1.37</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机构大额少数资本投资中的二级资本</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49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其他应在二级资本中扣除的项目合计</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0.00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二级资本扣除项总和</w:t>
            </w:r>
          </w:p>
        </w:tc>
        <w:tc>
          <w:tcPr>
            <w:tcW w:w="1559" w:type="dxa"/>
            <w:tcBorders>
              <w:top w:val="nil"/>
              <w:left w:val="nil"/>
              <w:bottom w:val="single" w:sz="8" w:space="0" w:color="000000"/>
              <w:right w:val="nil"/>
            </w:tcBorders>
            <w:shd w:val="clear" w:color="auto" w:fill="auto"/>
            <w:vAlign w:val="center"/>
            <w:hideMark/>
          </w:tcPr>
          <w:p w:rsidR="00D1381F" w:rsidRPr="00B837DE" w:rsidRDefault="00D644A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1.37</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二级资本净额</w:t>
            </w:r>
          </w:p>
        </w:tc>
        <w:tc>
          <w:tcPr>
            <w:tcW w:w="1559" w:type="dxa"/>
            <w:tcBorders>
              <w:top w:val="nil"/>
              <w:left w:val="nil"/>
              <w:bottom w:val="single" w:sz="8" w:space="0" w:color="000000"/>
              <w:right w:val="nil"/>
            </w:tcBorders>
            <w:shd w:val="clear" w:color="auto" w:fill="auto"/>
            <w:vAlign w:val="center"/>
            <w:hideMark/>
          </w:tcPr>
          <w:p w:rsidR="00D1381F" w:rsidRPr="00B837DE" w:rsidRDefault="00D644A3"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2.61</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总资本净额</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D644A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w:t>
            </w:r>
            <w:r w:rsidR="00D644A3">
              <w:rPr>
                <w:rFonts w:ascii="微软雅黑" w:eastAsia="微软雅黑" w:hAnsi="微软雅黑" w:cs="Arial"/>
                <w:color w:val="000000"/>
                <w:kern w:val="0"/>
                <w:sz w:val="18"/>
                <w:szCs w:val="18"/>
              </w:rPr>
              <w:t>6.88</w:t>
            </w:r>
            <w:r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风险加权资产</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D644A3">
            <w:pPr>
              <w:widowControl/>
              <w:jc w:val="right"/>
              <w:rPr>
                <w:rFonts w:ascii="微软雅黑" w:eastAsia="微软雅黑" w:hAnsi="微软雅黑" w:cs="Arial"/>
                <w:color w:val="000000"/>
                <w:kern w:val="0"/>
                <w:sz w:val="18"/>
                <w:szCs w:val="18"/>
              </w:rPr>
            </w:pPr>
            <w:r>
              <w:rPr>
                <w:rFonts w:ascii="微软雅黑" w:eastAsia="微软雅黑" w:hAnsi="微软雅黑" w:cs="Arial" w:hint="eastAsia"/>
                <w:color w:val="000000"/>
                <w:kern w:val="0"/>
                <w:sz w:val="18"/>
                <w:szCs w:val="18"/>
              </w:rPr>
              <w:t>3</w:t>
            </w:r>
            <w:r w:rsidR="00D644A3">
              <w:rPr>
                <w:rFonts w:ascii="微软雅黑" w:eastAsia="微软雅黑" w:hAnsi="微软雅黑" w:cs="Arial"/>
                <w:color w:val="000000"/>
                <w:kern w:val="0"/>
                <w:sz w:val="18"/>
                <w:szCs w:val="18"/>
              </w:rPr>
              <w:t>28.79</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资本充足率和其他各级资本要求</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核心一级资本充足率</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7B7A98">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w:t>
            </w:r>
            <w:r w:rsidR="007B7A98">
              <w:rPr>
                <w:rFonts w:ascii="微软雅黑" w:eastAsia="微软雅黑" w:hAnsi="微软雅黑" w:cs="Arial" w:hint="eastAsia"/>
                <w:color w:val="000000"/>
                <w:kern w:val="0"/>
                <w:sz w:val="18"/>
                <w:szCs w:val="18"/>
              </w:rPr>
              <w:t>9.5</w:t>
            </w:r>
            <w:r>
              <w:rPr>
                <w:rFonts w:ascii="微软雅黑" w:eastAsia="微软雅黑" w:hAnsi="微软雅黑" w:cs="Arial"/>
                <w:color w:val="000000"/>
                <w:kern w:val="0"/>
                <w:sz w:val="18"/>
                <w:szCs w:val="18"/>
              </w:rPr>
              <w:t>5</w:t>
            </w:r>
            <w:r w:rsidRPr="00B837DE">
              <w:rPr>
                <w:rFonts w:ascii="微软雅黑" w:eastAsia="微软雅黑" w:hAnsi="微软雅黑" w:cs="Arial" w:hint="eastAsia"/>
                <w:color w:val="000000"/>
                <w:kern w:val="0"/>
                <w:sz w:val="18"/>
                <w:szCs w:val="18"/>
              </w:rPr>
              <w:t>%</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一级资本充足率</w:t>
            </w:r>
          </w:p>
        </w:tc>
        <w:tc>
          <w:tcPr>
            <w:tcW w:w="1559" w:type="dxa"/>
            <w:tcBorders>
              <w:top w:val="nil"/>
              <w:left w:val="nil"/>
              <w:bottom w:val="single" w:sz="8" w:space="0" w:color="000000"/>
              <w:right w:val="nil"/>
            </w:tcBorders>
            <w:shd w:val="clear" w:color="auto" w:fill="auto"/>
            <w:vAlign w:val="center"/>
            <w:hideMark/>
          </w:tcPr>
          <w:p w:rsidR="00D1381F" w:rsidRPr="00B837DE" w:rsidRDefault="007B7A98"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1</w:t>
            </w:r>
            <w:r>
              <w:rPr>
                <w:rFonts w:ascii="微软雅黑" w:eastAsia="微软雅黑" w:hAnsi="微软雅黑" w:cs="Arial" w:hint="eastAsia"/>
                <w:color w:val="000000"/>
                <w:kern w:val="0"/>
                <w:sz w:val="18"/>
                <w:szCs w:val="18"/>
              </w:rPr>
              <w:t>9.5</w:t>
            </w:r>
            <w:r>
              <w:rPr>
                <w:rFonts w:ascii="微软雅黑" w:eastAsia="微软雅黑" w:hAnsi="微软雅黑" w:cs="Arial"/>
                <w:color w:val="000000"/>
                <w:kern w:val="0"/>
                <w:sz w:val="18"/>
                <w:szCs w:val="18"/>
              </w:rPr>
              <w:t>5</w:t>
            </w:r>
            <w:r w:rsidR="00D1381F" w:rsidRPr="00B837DE">
              <w:rPr>
                <w:rFonts w:ascii="微软雅黑" w:eastAsia="微软雅黑" w:hAnsi="微软雅黑" w:cs="Arial" w:hint="eastAsia"/>
                <w:color w:val="000000"/>
                <w:kern w:val="0"/>
                <w:sz w:val="18"/>
                <w:szCs w:val="18"/>
              </w:rPr>
              <w:t>%</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资本充足率</w:t>
            </w:r>
          </w:p>
        </w:tc>
        <w:tc>
          <w:tcPr>
            <w:tcW w:w="1559" w:type="dxa"/>
            <w:tcBorders>
              <w:top w:val="nil"/>
              <w:left w:val="nil"/>
              <w:bottom w:val="single" w:sz="8" w:space="0" w:color="000000"/>
              <w:right w:val="nil"/>
            </w:tcBorders>
            <w:shd w:val="clear" w:color="auto" w:fill="auto"/>
            <w:vAlign w:val="center"/>
            <w:hideMark/>
          </w:tcPr>
          <w:p w:rsidR="00D1381F" w:rsidRPr="00B837DE" w:rsidRDefault="007B7A98"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20.34</w:t>
            </w:r>
            <w:r w:rsidR="00D1381F" w:rsidRPr="00B837DE">
              <w:rPr>
                <w:rFonts w:ascii="微软雅黑" w:eastAsia="微软雅黑" w:hAnsi="微软雅黑" w:cs="Arial" w:hint="eastAsia"/>
                <w:color w:val="000000"/>
                <w:kern w:val="0"/>
                <w:sz w:val="18"/>
                <w:szCs w:val="18"/>
              </w:rPr>
              <w:t>%</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其他各级资本要求（%）</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2.50%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其中：储备资本要求</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2.50%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59</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其中：逆周期资本要求</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60</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 xml:space="preserve">    其中：全球系统重要性银行或国内系统重要性银行附加资本要求</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p>
        </w:tc>
      </w:tr>
      <w:tr w:rsidR="00D1381F" w:rsidRPr="00B837DE" w:rsidTr="001F2313">
        <w:trPr>
          <w:trHeight w:val="79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61</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满足最低资本要求后的可用核心一级资本净额</w:t>
            </w:r>
            <w:proofErr w:type="gramStart"/>
            <w:r w:rsidRPr="00B837DE">
              <w:rPr>
                <w:rFonts w:ascii="微软雅黑" w:eastAsia="微软雅黑" w:hAnsi="微软雅黑" w:cs="Arial" w:hint="eastAsia"/>
                <w:b/>
                <w:bCs/>
                <w:color w:val="000000"/>
                <w:kern w:val="0"/>
                <w:sz w:val="18"/>
                <w:szCs w:val="18"/>
              </w:rPr>
              <w:t>占风险</w:t>
            </w:r>
            <w:proofErr w:type="gramEnd"/>
            <w:r w:rsidRPr="00B837DE">
              <w:rPr>
                <w:rFonts w:ascii="微软雅黑" w:eastAsia="微软雅黑" w:hAnsi="微软雅黑" w:cs="Arial" w:hint="eastAsia"/>
                <w:b/>
                <w:bCs/>
                <w:color w:val="000000"/>
                <w:kern w:val="0"/>
                <w:sz w:val="18"/>
                <w:szCs w:val="18"/>
              </w:rPr>
              <w:t>加权资产的比例（%）</w:t>
            </w:r>
          </w:p>
        </w:tc>
        <w:tc>
          <w:tcPr>
            <w:tcW w:w="1559" w:type="dxa"/>
            <w:tcBorders>
              <w:top w:val="nil"/>
              <w:left w:val="nil"/>
              <w:bottom w:val="single" w:sz="8" w:space="0" w:color="000000"/>
              <w:right w:val="nil"/>
            </w:tcBorders>
            <w:shd w:val="clear" w:color="auto" w:fill="auto"/>
            <w:vAlign w:val="center"/>
            <w:hideMark/>
          </w:tcPr>
          <w:p w:rsidR="00D1381F" w:rsidRPr="00B837DE" w:rsidRDefault="00737AD0"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12.34</w:t>
            </w:r>
            <w:r w:rsidR="00D1381F" w:rsidRPr="00B837DE">
              <w:rPr>
                <w:rFonts w:ascii="微软雅黑" w:eastAsia="微软雅黑" w:hAnsi="微软雅黑" w:cs="Arial" w:hint="eastAsia"/>
                <w:color w:val="000000"/>
                <w:kern w:val="0"/>
                <w:sz w:val="18"/>
                <w:szCs w:val="18"/>
              </w:rPr>
              <w:t>%</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453"/>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我国最低监管资本要求</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62</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核心一级资本充足率</w:t>
            </w:r>
          </w:p>
        </w:tc>
        <w:tc>
          <w:tcPr>
            <w:tcW w:w="1559"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5.00%</w:t>
            </w:r>
          </w:p>
        </w:tc>
        <w:tc>
          <w:tcPr>
            <w:tcW w:w="1412" w:type="dxa"/>
            <w:tcBorders>
              <w:top w:val="single" w:sz="4" w:space="0" w:color="000000"/>
              <w:left w:val="nil"/>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63</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一级资本充足率</w:t>
            </w:r>
          </w:p>
        </w:tc>
        <w:tc>
          <w:tcPr>
            <w:tcW w:w="1559"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6.00%</w:t>
            </w:r>
          </w:p>
        </w:tc>
        <w:tc>
          <w:tcPr>
            <w:tcW w:w="1412" w:type="dxa"/>
            <w:tcBorders>
              <w:top w:val="nil"/>
              <w:left w:val="nil"/>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7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64</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资本充足率</w:t>
            </w:r>
          </w:p>
        </w:tc>
        <w:tc>
          <w:tcPr>
            <w:tcW w:w="1559"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hint="eastAsia"/>
                <w:color w:val="000000"/>
                <w:kern w:val="0"/>
                <w:sz w:val="18"/>
                <w:szCs w:val="18"/>
              </w:rPr>
              <w:t>8</w:t>
            </w:r>
            <w:r w:rsidRPr="00B837DE">
              <w:rPr>
                <w:rFonts w:ascii="微软雅黑" w:eastAsia="微软雅黑" w:hAnsi="微软雅黑" w:cs="Arial" w:hint="eastAsia"/>
                <w:color w:val="000000"/>
                <w:kern w:val="0"/>
                <w:sz w:val="18"/>
                <w:szCs w:val="18"/>
              </w:rPr>
              <w:t>.00%</w:t>
            </w:r>
          </w:p>
        </w:tc>
        <w:tc>
          <w:tcPr>
            <w:tcW w:w="1412" w:type="dxa"/>
            <w:tcBorders>
              <w:top w:val="nil"/>
              <w:left w:val="nil"/>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门槛扣除项中未扣除部分</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65</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机构的小额少数资本投资中未扣除部分</w:t>
            </w:r>
          </w:p>
        </w:tc>
        <w:tc>
          <w:tcPr>
            <w:tcW w:w="1559" w:type="dxa"/>
            <w:tcBorders>
              <w:top w:val="nil"/>
              <w:left w:val="nil"/>
              <w:bottom w:val="single" w:sz="8" w:space="0" w:color="000000"/>
              <w:right w:val="nil"/>
            </w:tcBorders>
            <w:shd w:val="clear" w:color="auto" w:fill="auto"/>
            <w:vAlign w:val="center"/>
            <w:hideMark/>
          </w:tcPr>
          <w:p w:rsidR="00D1381F" w:rsidRPr="00666A17" w:rsidRDefault="00443192" w:rsidP="00EF17C3">
            <w:pPr>
              <w:widowControl/>
              <w:jc w:val="right"/>
              <w:rPr>
                <w:rFonts w:ascii="微软雅黑" w:eastAsia="微软雅黑" w:hAnsi="微软雅黑" w:cs="Arial"/>
                <w:color w:val="000000"/>
                <w:kern w:val="0"/>
                <w:sz w:val="18"/>
                <w:szCs w:val="18"/>
              </w:rPr>
            </w:pPr>
            <w:r w:rsidRPr="00666A17">
              <w:rPr>
                <w:rFonts w:ascii="微软雅黑" w:eastAsia="微软雅黑" w:hAnsi="微软雅黑" w:cs="Arial"/>
                <w:color w:val="000000"/>
                <w:kern w:val="0"/>
                <w:sz w:val="18"/>
                <w:szCs w:val="18"/>
              </w:rPr>
              <w:t>6.46</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666A17"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66</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对未并</w:t>
            </w:r>
            <w:proofErr w:type="gramStart"/>
            <w:r w:rsidRPr="00B837DE">
              <w:rPr>
                <w:rFonts w:ascii="微软雅黑" w:eastAsia="微软雅黑" w:hAnsi="微软雅黑" w:cs="Arial" w:hint="eastAsia"/>
                <w:color w:val="000000"/>
                <w:kern w:val="0"/>
                <w:sz w:val="18"/>
                <w:szCs w:val="18"/>
              </w:rPr>
              <w:t>表金融</w:t>
            </w:r>
            <w:proofErr w:type="gramEnd"/>
            <w:r w:rsidRPr="00B837DE">
              <w:rPr>
                <w:rFonts w:ascii="微软雅黑" w:eastAsia="微软雅黑" w:hAnsi="微软雅黑" w:cs="Arial" w:hint="eastAsia"/>
                <w:color w:val="000000"/>
                <w:kern w:val="0"/>
                <w:sz w:val="18"/>
                <w:szCs w:val="18"/>
              </w:rPr>
              <w:t>机构的大额少数资本投资中未扣除部分</w:t>
            </w:r>
          </w:p>
        </w:tc>
        <w:tc>
          <w:tcPr>
            <w:tcW w:w="1559" w:type="dxa"/>
            <w:tcBorders>
              <w:top w:val="nil"/>
              <w:left w:val="nil"/>
              <w:bottom w:val="single" w:sz="8" w:space="0" w:color="000000"/>
              <w:right w:val="nil"/>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0</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67</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其他依赖于银行未来盈利的</w:t>
            </w:r>
            <w:proofErr w:type="gramStart"/>
            <w:r w:rsidRPr="00B837DE">
              <w:rPr>
                <w:rFonts w:ascii="微软雅黑" w:eastAsia="微软雅黑" w:hAnsi="微软雅黑" w:cs="Arial" w:hint="eastAsia"/>
                <w:color w:val="000000"/>
                <w:kern w:val="0"/>
                <w:sz w:val="18"/>
                <w:szCs w:val="18"/>
              </w:rPr>
              <w:t>净递延税</w:t>
            </w:r>
            <w:proofErr w:type="gramEnd"/>
            <w:r w:rsidRPr="00B837DE">
              <w:rPr>
                <w:rFonts w:ascii="微软雅黑" w:eastAsia="微软雅黑" w:hAnsi="微软雅黑" w:cs="Arial" w:hint="eastAsia"/>
                <w:color w:val="000000"/>
                <w:kern w:val="0"/>
                <w:sz w:val="18"/>
                <w:szCs w:val="18"/>
              </w:rPr>
              <w:t>资产（扣除</w:t>
            </w:r>
            <w:proofErr w:type="gramStart"/>
            <w:r w:rsidRPr="00B837DE">
              <w:rPr>
                <w:rFonts w:ascii="微软雅黑" w:eastAsia="微软雅黑" w:hAnsi="微软雅黑" w:cs="Arial" w:hint="eastAsia"/>
                <w:color w:val="000000"/>
                <w:kern w:val="0"/>
                <w:sz w:val="18"/>
                <w:szCs w:val="18"/>
              </w:rPr>
              <w:t>递延税负债</w:t>
            </w:r>
            <w:proofErr w:type="gramEnd"/>
            <w:r w:rsidRPr="00B837DE">
              <w:rPr>
                <w:rFonts w:ascii="微软雅黑" w:eastAsia="微软雅黑" w:hAnsi="微软雅黑" w:cs="Arial" w:hint="eastAsia"/>
                <w:color w:val="000000"/>
                <w:kern w:val="0"/>
                <w:sz w:val="18"/>
                <w:szCs w:val="18"/>
              </w:rPr>
              <w:t>）</w:t>
            </w:r>
          </w:p>
        </w:tc>
        <w:tc>
          <w:tcPr>
            <w:tcW w:w="1559" w:type="dxa"/>
            <w:tcBorders>
              <w:top w:val="nil"/>
              <w:left w:val="nil"/>
              <w:bottom w:val="single" w:sz="8" w:space="0" w:color="000000"/>
              <w:right w:val="nil"/>
            </w:tcBorders>
            <w:shd w:val="clear" w:color="auto" w:fill="auto"/>
            <w:vAlign w:val="center"/>
            <w:hideMark/>
          </w:tcPr>
          <w:p w:rsidR="00D1381F" w:rsidRPr="00B837DE" w:rsidRDefault="00443192"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0.69</w:t>
            </w:r>
          </w:p>
        </w:tc>
        <w:tc>
          <w:tcPr>
            <w:tcW w:w="1412" w:type="dxa"/>
            <w:tcBorders>
              <w:top w:val="nil"/>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285"/>
        </w:trPr>
        <w:tc>
          <w:tcPr>
            <w:tcW w:w="6521" w:type="dxa"/>
            <w:gridSpan w:val="3"/>
            <w:tcBorders>
              <w:top w:val="nil"/>
              <w:left w:val="single" w:sz="4" w:space="0" w:color="auto"/>
              <w:bottom w:val="single" w:sz="8" w:space="0" w:color="000000"/>
              <w:right w:val="nil"/>
            </w:tcBorders>
            <w:shd w:val="clear" w:color="auto" w:fill="auto"/>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r w:rsidRPr="00B837DE">
              <w:rPr>
                <w:rFonts w:ascii="微软雅黑" w:eastAsia="微软雅黑" w:hAnsi="微软雅黑" w:cs="Arial" w:hint="eastAsia"/>
                <w:b/>
                <w:bCs/>
                <w:color w:val="000000"/>
                <w:kern w:val="0"/>
                <w:sz w:val="18"/>
                <w:szCs w:val="18"/>
              </w:rPr>
              <w:t>可计入二级资本的超额损失准备的限额</w:t>
            </w:r>
          </w:p>
        </w:tc>
        <w:tc>
          <w:tcPr>
            <w:tcW w:w="1412" w:type="dxa"/>
            <w:tcBorders>
              <w:top w:val="nil"/>
              <w:left w:val="nil"/>
              <w:bottom w:val="nil"/>
              <w:right w:val="single" w:sz="4" w:space="0" w:color="auto"/>
            </w:tcBorders>
            <w:shd w:val="clear" w:color="auto" w:fill="auto"/>
            <w:noWrap/>
            <w:vAlign w:val="center"/>
            <w:hideMark/>
          </w:tcPr>
          <w:p w:rsidR="00D1381F" w:rsidRPr="00B837DE" w:rsidRDefault="00D1381F" w:rsidP="00EF17C3">
            <w:pPr>
              <w:widowControl/>
              <w:jc w:val="center"/>
              <w:rPr>
                <w:rFonts w:ascii="微软雅黑" w:eastAsia="微软雅黑" w:hAnsi="微软雅黑" w:cs="Arial"/>
                <w:b/>
                <w:bCs/>
                <w:color w:val="000000"/>
                <w:kern w:val="0"/>
                <w:sz w:val="18"/>
                <w:szCs w:val="18"/>
              </w:rPr>
            </w:pPr>
          </w:p>
        </w:tc>
      </w:tr>
      <w:tr w:rsidR="00D1381F" w:rsidRPr="00B837DE" w:rsidTr="001F2313">
        <w:trPr>
          <w:trHeight w:val="535"/>
        </w:trPr>
        <w:tc>
          <w:tcPr>
            <w:tcW w:w="600" w:type="dxa"/>
            <w:tcBorders>
              <w:top w:val="nil"/>
              <w:left w:val="single" w:sz="4" w:space="0" w:color="auto"/>
              <w:bottom w:val="single" w:sz="8" w:space="0" w:color="000000"/>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68</w:t>
            </w:r>
          </w:p>
        </w:tc>
        <w:tc>
          <w:tcPr>
            <w:tcW w:w="4362" w:type="dxa"/>
            <w:tcBorders>
              <w:top w:val="nil"/>
              <w:left w:val="nil"/>
              <w:bottom w:val="single" w:sz="8" w:space="0" w:color="000000"/>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权重法下，实际计提的超额损失准备金额</w:t>
            </w:r>
          </w:p>
        </w:tc>
        <w:tc>
          <w:tcPr>
            <w:tcW w:w="1559" w:type="dxa"/>
            <w:tcBorders>
              <w:top w:val="nil"/>
              <w:left w:val="nil"/>
              <w:bottom w:val="single" w:sz="8" w:space="0" w:color="000000"/>
              <w:right w:val="nil"/>
            </w:tcBorders>
            <w:shd w:val="clear" w:color="auto" w:fill="auto"/>
            <w:vAlign w:val="center"/>
            <w:hideMark/>
          </w:tcPr>
          <w:p w:rsidR="00D1381F" w:rsidRPr="00B837DE" w:rsidRDefault="00443192"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5.33</w:t>
            </w:r>
          </w:p>
        </w:tc>
        <w:tc>
          <w:tcPr>
            <w:tcW w:w="1412" w:type="dxa"/>
            <w:tcBorders>
              <w:top w:val="single" w:sz="4" w:space="0" w:color="000000"/>
              <w:left w:val="single" w:sz="4" w:space="0" w:color="000000"/>
              <w:bottom w:val="single" w:sz="8" w:space="0" w:color="000000"/>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r w:rsidR="00D1381F" w:rsidRPr="00B837DE" w:rsidTr="001F2313">
        <w:trPr>
          <w:trHeight w:val="535"/>
        </w:trPr>
        <w:tc>
          <w:tcPr>
            <w:tcW w:w="600" w:type="dxa"/>
            <w:tcBorders>
              <w:top w:val="nil"/>
              <w:left w:val="single" w:sz="4" w:space="0" w:color="auto"/>
              <w:bottom w:val="single" w:sz="4" w:space="0" w:color="auto"/>
              <w:right w:val="single" w:sz="8" w:space="0" w:color="000000"/>
            </w:tcBorders>
            <w:shd w:val="clear" w:color="auto" w:fill="auto"/>
            <w:vAlign w:val="center"/>
            <w:hideMark/>
          </w:tcPr>
          <w:p w:rsidR="00D1381F" w:rsidRPr="00B837DE" w:rsidRDefault="00D1381F" w:rsidP="00EF17C3">
            <w:pPr>
              <w:widowControl/>
              <w:jc w:val="center"/>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69</w:t>
            </w:r>
          </w:p>
        </w:tc>
        <w:tc>
          <w:tcPr>
            <w:tcW w:w="4362" w:type="dxa"/>
            <w:tcBorders>
              <w:top w:val="nil"/>
              <w:left w:val="nil"/>
              <w:bottom w:val="single" w:sz="4" w:space="0" w:color="auto"/>
              <w:right w:val="single" w:sz="8" w:space="0" w:color="000000"/>
            </w:tcBorders>
            <w:shd w:val="clear" w:color="auto" w:fill="auto"/>
            <w:vAlign w:val="center"/>
            <w:hideMark/>
          </w:tcPr>
          <w:p w:rsidR="00D1381F" w:rsidRPr="00B837DE" w:rsidRDefault="00D1381F" w:rsidP="00EF17C3">
            <w:pPr>
              <w:widowControl/>
              <w:jc w:val="left"/>
              <w:rPr>
                <w:rFonts w:ascii="微软雅黑" w:eastAsia="微软雅黑" w:hAnsi="微软雅黑" w:cs="Arial"/>
                <w:color w:val="000000"/>
                <w:kern w:val="0"/>
                <w:sz w:val="18"/>
                <w:szCs w:val="18"/>
              </w:rPr>
            </w:pPr>
            <w:r w:rsidRPr="00B837DE">
              <w:rPr>
                <w:rFonts w:ascii="微软雅黑" w:eastAsia="微软雅黑" w:hAnsi="微软雅黑" w:cs="Arial" w:hint="eastAsia"/>
                <w:color w:val="000000"/>
                <w:kern w:val="0"/>
                <w:sz w:val="18"/>
                <w:szCs w:val="18"/>
              </w:rPr>
              <w:t>权重法下，可计入二级资本超额损失准备的数额</w:t>
            </w:r>
          </w:p>
        </w:tc>
        <w:tc>
          <w:tcPr>
            <w:tcW w:w="1559" w:type="dxa"/>
            <w:tcBorders>
              <w:top w:val="nil"/>
              <w:left w:val="nil"/>
              <w:bottom w:val="single" w:sz="4" w:space="0" w:color="auto"/>
              <w:right w:val="nil"/>
            </w:tcBorders>
            <w:shd w:val="clear" w:color="auto" w:fill="auto"/>
            <w:vAlign w:val="center"/>
            <w:hideMark/>
          </w:tcPr>
          <w:p w:rsidR="00D1381F" w:rsidRPr="00B837DE" w:rsidRDefault="00443192" w:rsidP="00EF17C3">
            <w:pPr>
              <w:widowControl/>
              <w:jc w:val="right"/>
              <w:rPr>
                <w:rFonts w:ascii="微软雅黑" w:eastAsia="微软雅黑" w:hAnsi="微软雅黑" w:cs="Arial"/>
                <w:color w:val="000000"/>
                <w:kern w:val="0"/>
                <w:sz w:val="18"/>
                <w:szCs w:val="18"/>
              </w:rPr>
            </w:pPr>
            <w:r>
              <w:rPr>
                <w:rFonts w:ascii="微软雅黑" w:eastAsia="微软雅黑" w:hAnsi="微软雅黑" w:cs="Arial"/>
                <w:color w:val="000000"/>
                <w:kern w:val="0"/>
                <w:sz w:val="18"/>
                <w:szCs w:val="18"/>
              </w:rPr>
              <w:t>3.98</w:t>
            </w:r>
            <w:r w:rsidR="00D1381F" w:rsidRPr="00B837DE">
              <w:rPr>
                <w:rFonts w:ascii="微软雅黑" w:eastAsia="微软雅黑" w:hAnsi="微软雅黑" w:cs="Arial" w:hint="eastAsia"/>
                <w:color w:val="000000"/>
                <w:kern w:val="0"/>
                <w:sz w:val="18"/>
                <w:szCs w:val="18"/>
              </w:rPr>
              <w:t xml:space="preserve"> </w:t>
            </w:r>
          </w:p>
        </w:tc>
        <w:tc>
          <w:tcPr>
            <w:tcW w:w="1412" w:type="dxa"/>
            <w:tcBorders>
              <w:top w:val="nil"/>
              <w:left w:val="single" w:sz="4" w:space="0" w:color="000000"/>
              <w:bottom w:val="single" w:sz="4" w:space="0" w:color="auto"/>
              <w:right w:val="single" w:sz="4" w:space="0" w:color="auto"/>
            </w:tcBorders>
            <w:shd w:val="clear" w:color="auto" w:fill="auto"/>
            <w:vAlign w:val="center"/>
            <w:hideMark/>
          </w:tcPr>
          <w:p w:rsidR="00D1381F" w:rsidRPr="00B837DE" w:rsidRDefault="00D1381F" w:rsidP="00EF17C3">
            <w:pPr>
              <w:widowControl/>
              <w:jc w:val="right"/>
              <w:rPr>
                <w:rFonts w:ascii="微软雅黑" w:eastAsia="微软雅黑" w:hAnsi="微软雅黑" w:cs="Arial"/>
                <w:color w:val="000000"/>
                <w:kern w:val="0"/>
                <w:sz w:val="18"/>
                <w:szCs w:val="18"/>
              </w:rPr>
            </w:pPr>
          </w:p>
        </w:tc>
      </w:tr>
    </w:tbl>
    <w:p w:rsidR="00CB36BE" w:rsidRDefault="00CB36BE" w:rsidP="005D0436">
      <w:pPr>
        <w:widowControl/>
        <w:spacing w:line="360" w:lineRule="auto"/>
        <w:jc w:val="left"/>
        <w:outlineLvl w:val="0"/>
        <w:rPr>
          <w:rFonts w:ascii="黑体" w:eastAsia="黑体" w:hAnsi="黑体" w:cs="黑体"/>
          <w:sz w:val="36"/>
          <w:szCs w:val="36"/>
        </w:rPr>
      </w:pPr>
    </w:p>
    <w:sectPr w:rsidR="00CB36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NGVjYjNiMTgzNDBlODA2ZDg4YmZkM2Y5MDcxOTUifQ=="/>
  </w:docVars>
  <w:rsids>
    <w:rsidRoot w:val="001F367C"/>
    <w:rsid w:val="0000492F"/>
    <w:rsid w:val="00007135"/>
    <w:rsid w:val="00011723"/>
    <w:rsid w:val="0001320D"/>
    <w:rsid w:val="00013A7B"/>
    <w:rsid w:val="000168A6"/>
    <w:rsid w:val="00027928"/>
    <w:rsid w:val="000663FA"/>
    <w:rsid w:val="00093D43"/>
    <w:rsid w:val="000A0B51"/>
    <w:rsid w:val="000A1EB9"/>
    <w:rsid w:val="000A36EE"/>
    <w:rsid w:val="000A523C"/>
    <w:rsid w:val="000B45A4"/>
    <w:rsid w:val="000B6DB0"/>
    <w:rsid w:val="000D1726"/>
    <w:rsid w:val="000E05CF"/>
    <w:rsid w:val="000E2ED3"/>
    <w:rsid w:val="000F3855"/>
    <w:rsid w:val="000F3DF8"/>
    <w:rsid w:val="00110ABA"/>
    <w:rsid w:val="00147F85"/>
    <w:rsid w:val="00176184"/>
    <w:rsid w:val="00183C80"/>
    <w:rsid w:val="001A7AC2"/>
    <w:rsid w:val="001C3D27"/>
    <w:rsid w:val="001E4FC9"/>
    <w:rsid w:val="001E7A54"/>
    <w:rsid w:val="001F2313"/>
    <w:rsid w:val="001F367C"/>
    <w:rsid w:val="001F3EAC"/>
    <w:rsid w:val="0020029D"/>
    <w:rsid w:val="00231FB0"/>
    <w:rsid w:val="0023421F"/>
    <w:rsid w:val="00244EE6"/>
    <w:rsid w:val="0025029E"/>
    <w:rsid w:val="002520DA"/>
    <w:rsid w:val="00260111"/>
    <w:rsid w:val="0026415B"/>
    <w:rsid w:val="0027573E"/>
    <w:rsid w:val="00285740"/>
    <w:rsid w:val="002C74C8"/>
    <w:rsid w:val="002D0BBC"/>
    <w:rsid w:val="002D4F59"/>
    <w:rsid w:val="002D7E10"/>
    <w:rsid w:val="002F1121"/>
    <w:rsid w:val="002F5BF0"/>
    <w:rsid w:val="002F6825"/>
    <w:rsid w:val="00302A49"/>
    <w:rsid w:val="00332509"/>
    <w:rsid w:val="003530BE"/>
    <w:rsid w:val="0035677A"/>
    <w:rsid w:val="003568C4"/>
    <w:rsid w:val="00381CAF"/>
    <w:rsid w:val="00392D0A"/>
    <w:rsid w:val="00397CE1"/>
    <w:rsid w:val="003A0A4F"/>
    <w:rsid w:val="003B2855"/>
    <w:rsid w:val="003B33C6"/>
    <w:rsid w:val="003F4EB3"/>
    <w:rsid w:val="004076AC"/>
    <w:rsid w:val="00431001"/>
    <w:rsid w:val="00443192"/>
    <w:rsid w:val="004517CD"/>
    <w:rsid w:val="00457C32"/>
    <w:rsid w:val="0047342A"/>
    <w:rsid w:val="00485184"/>
    <w:rsid w:val="0049605D"/>
    <w:rsid w:val="004A0200"/>
    <w:rsid w:val="005012F4"/>
    <w:rsid w:val="00513128"/>
    <w:rsid w:val="00515AAE"/>
    <w:rsid w:val="00550D11"/>
    <w:rsid w:val="00584DF5"/>
    <w:rsid w:val="005B5AC8"/>
    <w:rsid w:val="005B6181"/>
    <w:rsid w:val="005D0436"/>
    <w:rsid w:val="005D7FD5"/>
    <w:rsid w:val="005E1A1F"/>
    <w:rsid w:val="005F155A"/>
    <w:rsid w:val="0060464B"/>
    <w:rsid w:val="00621C47"/>
    <w:rsid w:val="00636677"/>
    <w:rsid w:val="00641123"/>
    <w:rsid w:val="006662D9"/>
    <w:rsid w:val="00666A17"/>
    <w:rsid w:val="00674411"/>
    <w:rsid w:val="006A05C2"/>
    <w:rsid w:val="006A2FDD"/>
    <w:rsid w:val="006B14DE"/>
    <w:rsid w:val="006B5A1F"/>
    <w:rsid w:val="006C7091"/>
    <w:rsid w:val="006F13F4"/>
    <w:rsid w:val="00723CF9"/>
    <w:rsid w:val="007250B0"/>
    <w:rsid w:val="0073272B"/>
    <w:rsid w:val="00736044"/>
    <w:rsid w:val="00737AD0"/>
    <w:rsid w:val="0074157D"/>
    <w:rsid w:val="00741C8C"/>
    <w:rsid w:val="007457C4"/>
    <w:rsid w:val="0075194D"/>
    <w:rsid w:val="0076608D"/>
    <w:rsid w:val="007869A6"/>
    <w:rsid w:val="007A2F3F"/>
    <w:rsid w:val="007B7A98"/>
    <w:rsid w:val="007C23F4"/>
    <w:rsid w:val="007D444F"/>
    <w:rsid w:val="007E44F7"/>
    <w:rsid w:val="007E5087"/>
    <w:rsid w:val="00800C3B"/>
    <w:rsid w:val="008016EE"/>
    <w:rsid w:val="00807664"/>
    <w:rsid w:val="0081745F"/>
    <w:rsid w:val="00822647"/>
    <w:rsid w:val="008343FA"/>
    <w:rsid w:val="00840B2E"/>
    <w:rsid w:val="00861E8E"/>
    <w:rsid w:val="0087482F"/>
    <w:rsid w:val="00881504"/>
    <w:rsid w:val="00896E85"/>
    <w:rsid w:val="008A016D"/>
    <w:rsid w:val="008A3F7B"/>
    <w:rsid w:val="008C3EB1"/>
    <w:rsid w:val="008C6186"/>
    <w:rsid w:val="008D1915"/>
    <w:rsid w:val="008E636E"/>
    <w:rsid w:val="009054D9"/>
    <w:rsid w:val="00920C43"/>
    <w:rsid w:val="00920C59"/>
    <w:rsid w:val="00924FE1"/>
    <w:rsid w:val="0093447A"/>
    <w:rsid w:val="00957B96"/>
    <w:rsid w:val="00976657"/>
    <w:rsid w:val="00977520"/>
    <w:rsid w:val="009A7DDA"/>
    <w:rsid w:val="009B67D8"/>
    <w:rsid w:val="009D7873"/>
    <w:rsid w:val="009D7B92"/>
    <w:rsid w:val="00A44058"/>
    <w:rsid w:val="00A6787A"/>
    <w:rsid w:val="00A7275E"/>
    <w:rsid w:val="00AC0237"/>
    <w:rsid w:val="00AC2118"/>
    <w:rsid w:val="00AC29C1"/>
    <w:rsid w:val="00AD2F2D"/>
    <w:rsid w:val="00AD6A65"/>
    <w:rsid w:val="00B02F8A"/>
    <w:rsid w:val="00B15B72"/>
    <w:rsid w:val="00B33CE2"/>
    <w:rsid w:val="00B42DB2"/>
    <w:rsid w:val="00B50C5D"/>
    <w:rsid w:val="00B5508D"/>
    <w:rsid w:val="00B62394"/>
    <w:rsid w:val="00B72875"/>
    <w:rsid w:val="00B72D6E"/>
    <w:rsid w:val="00B837DE"/>
    <w:rsid w:val="00B9518E"/>
    <w:rsid w:val="00BB6241"/>
    <w:rsid w:val="00BF1A08"/>
    <w:rsid w:val="00BF22EB"/>
    <w:rsid w:val="00BF4771"/>
    <w:rsid w:val="00BF52C0"/>
    <w:rsid w:val="00C014C7"/>
    <w:rsid w:val="00C06264"/>
    <w:rsid w:val="00C316F4"/>
    <w:rsid w:val="00C34925"/>
    <w:rsid w:val="00C46EBE"/>
    <w:rsid w:val="00C663F0"/>
    <w:rsid w:val="00C83610"/>
    <w:rsid w:val="00CA075F"/>
    <w:rsid w:val="00CA7391"/>
    <w:rsid w:val="00CB36BE"/>
    <w:rsid w:val="00CD3A22"/>
    <w:rsid w:val="00CE0C28"/>
    <w:rsid w:val="00D03606"/>
    <w:rsid w:val="00D1381F"/>
    <w:rsid w:val="00D16683"/>
    <w:rsid w:val="00D239E8"/>
    <w:rsid w:val="00D25D4C"/>
    <w:rsid w:val="00D44D31"/>
    <w:rsid w:val="00D50639"/>
    <w:rsid w:val="00D61E2D"/>
    <w:rsid w:val="00D644A3"/>
    <w:rsid w:val="00D72C46"/>
    <w:rsid w:val="00D92531"/>
    <w:rsid w:val="00DA2983"/>
    <w:rsid w:val="00DA582C"/>
    <w:rsid w:val="00DD16C4"/>
    <w:rsid w:val="00DE00BC"/>
    <w:rsid w:val="00DE05D6"/>
    <w:rsid w:val="00DE2ACD"/>
    <w:rsid w:val="00DF7907"/>
    <w:rsid w:val="00DF7937"/>
    <w:rsid w:val="00E15686"/>
    <w:rsid w:val="00E34C3A"/>
    <w:rsid w:val="00E40B27"/>
    <w:rsid w:val="00E705DA"/>
    <w:rsid w:val="00E91A62"/>
    <w:rsid w:val="00EB77A3"/>
    <w:rsid w:val="00EC26FF"/>
    <w:rsid w:val="00EE5131"/>
    <w:rsid w:val="00EF17C3"/>
    <w:rsid w:val="00EF2D8F"/>
    <w:rsid w:val="00EF42E7"/>
    <w:rsid w:val="00F0564D"/>
    <w:rsid w:val="00F07A6B"/>
    <w:rsid w:val="00FA1DA4"/>
    <w:rsid w:val="00FB2E97"/>
    <w:rsid w:val="00FB2FF1"/>
    <w:rsid w:val="00FE22E0"/>
    <w:rsid w:val="00FF0D73"/>
    <w:rsid w:val="01D54D98"/>
    <w:rsid w:val="03D9122A"/>
    <w:rsid w:val="07926EDC"/>
    <w:rsid w:val="0A4D56E8"/>
    <w:rsid w:val="0D7C256C"/>
    <w:rsid w:val="0F5D553C"/>
    <w:rsid w:val="10030D22"/>
    <w:rsid w:val="124B69B1"/>
    <w:rsid w:val="15A9769C"/>
    <w:rsid w:val="1AB31597"/>
    <w:rsid w:val="1D8B05A9"/>
    <w:rsid w:val="1E285DF8"/>
    <w:rsid w:val="21F04E7F"/>
    <w:rsid w:val="23013AE3"/>
    <w:rsid w:val="237F295E"/>
    <w:rsid w:val="24547947"/>
    <w:rsid w:val="25875AFA"/>
    <w:rsid w:val="260950E1"/>
    <w:rsid w:val="266D4CF0"/>
    <w:rsid w:val="40790D6F"/>
    <w:rsid w:val="41676AB4"/>
    <w:rsid w:val="42004812"/>
    <w:rsid w:val="45D97854"/>
    <w:rsid w:val="45DD2CD8"/>
    <w:rsid w:val="46361225"/>
    <w:rsid w:val="49310D4B"/>
    <w:rsid w:val="4B4734B2"/>
    <w:rsid w:val="4C303F46"/>
    <w:rsid w:val="4D0E4287"/>
    <w:rsid w:val="4EDD6607"/>
    <w:rsid w:val="4F4C553B"/>
    <w:rsid w:val="50937738"/>
    <w:rsid w:val="51136310"/>
    <w:rsid w:val="52DE294E"/>
    <w:rsid w:val="53D55AFF"/>
    <w:rsid w:val="547323CD"/>
    <w:rsid w:val="56051FA0"/>
    <w:rsid w:val="56757125"/>
    <w:rsid w:val="58A7793C"/>
    <w:rsid w:val="59464DA9"/>
    <w:rsid w:val="5A9F6E67"/>
    <w:rsid w:val="5E4A08DE"/>
    <w:rsid w:val="600E52CC"/>
    <w:rsid w:val="60CB256C"/>
    <w:rsid w:val="624D53FA"/>
    <w:rsid w:val="65F362B8"/>
    <w:rsid w:val="686B0388"/>
    <w:rsid w:val="69937B96"/>
    <w:rsid w:val="6F6B60B9"/>
    <w:rsid w:val="74E219D2"/>
    <w:rsid w:val="76313E26"/>
    <w:rsid w:val="76D35A76"/>
    <w:rsid w:val="78727511"/>
    <w:rsid w:val="78E744AB"/>
    <w:rsid w:val="7DA91D61"/>
    <w:rsid w:val="7F85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03A6EA-B54D-4C7A-B50B-F1115559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style>
  <w:style w:type="paragraph" w:styleId="2">
    <w:name w:val="toc 2"/>
    <w:basedOn w:val="a"/>
    <w:next w:val="a"/>
    <w:uiPriority w:val="39"/>
    <w:pPr>
      <w:ind w:leftChars="200" w:left="420"/>
    </w:pPr>
  </w:style>
  <w:style w:type="paragraph" w:customStyle="1" w:styleId="WPSOffice1">
    <w:name w:val="WPSOffice手动目录 1"/>
  </w:style>
  <w:style w:type="paragraph" w:customStyle="1" w:styleId="WPSOffice2">
    <w:name w:val="WPSOffice手动目录 2"/>
    <w:pPr>
      <w:ind w:leftChars="200" w:left="200"/>
    </w:pPr>
  </w:style>
  <w:style w:type="character" w:styleId="a3">
    <w:name w:val="Hyperlink"/>
    <w:basedOn w:val="a0"/>
    <w:uiPriority w:val="99"/>
    <w:unhideWhenUsed/>
    <w:rsid w:val="005D0436"/>
    <w:rPr>
      <w:color w:val="0026E5" w:themeColor="hyperlink"/>
      <w:u w:val="single"/>
    </w:rPr>
  </w:style>
  <w:style w:type="paragraph" w:styleId="a4">
    <w:name w:val="Balloon Text"/>
    <w:basedOn w:val="a"/>
    <w:link w:val="a5"/>
    <w:rsid w:val="00D92531"/>
    <w:rPr>
      <w:sz w:val="18"/>
      <w:szCs w:val="18"/>
    </w:rPr>
  </w:style>
  <w:style w:type="character" w:customStyle="1" w:styleId="a5">
    <w:name w:val="批注框文本 字符"/>
    <w:basedOn w:val="a0"/>
    <w:link w:val="a4"/>
    <w:rsid w:val="00D9253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287471">
      <w:bodyDiv w:val="1"/>
      <w:marLeft w:val="0"/>
      <w:marRight w:val="0"/>
      <w:marTop w:val="0"/>
      <w:marBottom w:val="0"/>
      <w:divBdr>
        <w:top w:val="none" w:sz="0" w:space="0" w:color="auto"/>
        <w:left w:val="none" w:sz="0" w:space="0" w:color="auto"/>
        <w:bottom w:val="none" w:sz="0" w:space="0" w:color="auto"/>
        <w:right w:val="none" w:sz="0" w:space="0" w:color="auto"/>
      </w:divBdr>
    </w:div>
    <w:div w:id="464589901">
      <w:bodyDiv w:val="1"/>
      <w:marLeft w:val="0"/>
      <w:marRight w:val="0"/>
      <w:marTop w:val="0"/>
      <w:marBottom w:val="0"/>
      <w:divBdr>
        <w:top w:val="none" w:sz="0" w:space="0" w:color="auto"/>
        <w:left w:val="none" w:sz="0" w:space="0" w:color="auto"/>
        <w:bottom w:val="none" w:sz="0" w:space="0" w:color="auto"/>
        <w:right w:val="none" w:sz="0" w:space="0" w:color="auto"/>
      </w:divBdr>
    </w:div>
    <w:div w:id="1278870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625b0-180b-4e5e-83a0-8736dcd4bb68}"/>
        <w:category>
          <w:name w:val="常规"/>
          <w:gallery w:val="placeholder"/>
        </w:category>
        <w:types>
          <w:type w:val="bbPlcHdr"/>
        </w:types>
        <w:behaviors>
          <w:behavior w:val="content"/>
        </w:behaviors>
        <w:guid w:val="{8A0625B0-180B-4E5E-83A0-8736DCD4BB68}"/>
      </w:docPartPr>
      <w:docPartBody>
        <w:p w:rsidR="00141DB1" w:rsidRDefault="00A67F30">
          <w:r>
            <w:rPr>
              <w:color w:val="808080"/>
            </w:rPr>
            <w:t>单击此处输入文字。</w:t>
          </w:r>
        </w:p>
      </w:docPartBody>
    </w:docPart>
    <w:docPart>
      <w:docPartPr>
        <w:name w:val="{784ec47e-fc7a-4d75-91aa-84ae90c91146}"/>
        <w:category>
          <w:name w:val="常规"/>
          <w:gallery w:val="placeholder"/>
        </w:category>
        <w:types>
          <w:type w:val="bbPlcHdr"/>
        </w:types>
        <w:behaviors>
          <w:behavior w:val="content"/>
        </w:behaviors>
        <w:guid w:val="{784EC47E-FC7A-4D75-91AA-84AE90C91146}"/>
      </w:docPartPr>
      <w:docPartBody>
        <w:p w:rsidR="00141DB1" w:rsidRDefault="00A67F30">
          <w:r>
            <w:rPr>
              <w:color w:val="808080"/>
            </w:rPr>
            <w:t>单击此处输入文字。</w:t>
          </w:r>
        </w:p>
      </w:docPartBody>
    </w:docPart>
    <w:docPart>
      <w:docPartPr>
        <w:name w:val="4142525AA29645EBBB3DBE64E105E491"/>
        <w:category>
          <w:name w:val="常规"/>
          <w:gallery w:val="placeholder"/>
        </w:category>
        <w:types>
          <w:type w:val="bbPlcHdr"/>
        </w:types>
        <w:behaviors>
          <w:behavior w:val="content"/>
        </w:behaviors>
        <w:guid w:val="{7F236E81-E62F-420E-B0A3-560FAB21ECCA}"/>
      </w:docPartPr>
      <w:docPartBody>
        <w:p w:rsidR="006418AC" w:rsidRDefault="0087764F" w:rsidP="0087764F">
          <w:pPr>
            <w:pStyle w:val="4142525AA29645EBBB3DBE64E105E491"/>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characterSpacingControl w:val="doNotCompress"/>
  <w:compat>
    <w:useFELayout/>
    <w:splitPgBreakAndParaMark/>
    <w:compatSetting w:name="compatibilityMode" w:uri="http://schemas.microsoft.com/office/word" w:val="14"/>
  </w:compat>
  <w:rsids>
    <w:rsidRoot w:val="00141DB1"/>
    <w:rsid w:val="00036BD4"/>
    <w:rsid w:val="00141DB1"/>
    <w:rsid w:val="002968A7"/>
    <w:rsid w:val="002C74E1"/>
    <w:rsid w:val="002D7D49"/>
    <w:rsid w:val="0031638A"/>
    <w:rsid w:val="00327316"/>
    <w:rsid w:val="00472FD9"/>
    <w:rsid w:val="006418AC"/>
    <w:rsid w:val="007760BB"/>
    <w:rsid w:val="007F0B36"/>
    <w:rsid w:val="0087764F"/>
    <w:rsid w:val="00887DA8"/>
    <w:rsid w:val="008C0C16"/>
    <w:rsid w:val="008F6AD8"/>
    <w:rsid w:val="00A415D5"/>
    <w:rsid w:val="00A67F30"/>
    <w:rsid w:val="00AF50FF"/>
    <w:rsid w:val="00B600B4"/>
    <w:rsid w:val="00BA70C9"/>
    <w:rsid w:val="00C425D3"/>
    <w:rsid w:val="00D16871"/>
    <w:rsid w:val="00D54371"/>
    <w:rsid w:val="00D62DD7"/>
    <w:rsid w:val="00D67206"/>
    <w:rsid w:val="00D8774A"/>
    <w:rsid w:val="00E64EDC"/>
    <w:rsid w:val="00F561CA"/>
    <w:rsid w:val="00F65282"/>
    <w:rsid w:val="00F94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2C19D8A196842EBB6B61169A54D5B6A">
    <w:name w:val="42C19D8A196842EBB6B61169A54D5B6A"/>
    <w:rsid w:val="00D67206"/>
    <w:pPr>
      <w:widowControl w:val="0"/>
      <w:jc w:val="both"/>
    </w:pPr>
    <w:rPr>
      <w:kern w:val="2"/>
      <w:sz w:val="21"/>
      <w:szCs w:val="22"/>
    </w:rPr>
  </w:style>
  <w:style w:type="paragraph" w:customStyle="1" w:styleId="91D61BFFCCDD44A7AD13BAE3915DB52D">
    <w:name w:val="91D61BFFCCDD44A7AD13BAE3915DB52D"/>
    <w:rsid w:val="00D67206"/>
    <w:pPr>
      <w:widowControl w:val="0"/>
      <w:jc w:val="both"/>
    </w:pPr>
    <w:rPr>
      <w:kern w:val="2"/>
      <w:sz w:val="21"/>
      <w:szCs w:val="22"/>
    </w:rPr>
  </w:style>
  <w:style w:type="paragraph" w:customStyle="1" w:styleId="52CC38512A80430BB930A302976C3CF8">
    <w:name w:val="52CC38512A80430BB930A302976C3CF8"/>
    <w:rsid w:val="00B600B4"/>
    <w:pPr>
      <w:widowControl w:val="0"/>
      <w:jc w:val="both"/>
    </w:pPr>
    <w:rPr>
      <w:kern w:val="2"/>
      <w:sz w:val="21"/>
      <w:szCs w:val="22"/>
    </w:rPr>
  </w:style>
  <w:style w:type="paragraph" w:customStyle="1" w:styleId="4142525AA29645EBBB3DBE64E105E491">
    <w:name w:val="4142525AA29645EBBB3DBE64E105E491"/>
    <w:rsid w:val="0087764F"/>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1</Pages>
  <Words>595</Words>
  <Characters>3392</Characters>
  <Application>Microsoft Office Word</Application>
  <DocSecurity>0</DocSecurity>
  <Lines>28</Lines>
  <Paragraphs>7</Paragraphs>
  <ScaleCrop>false</ScaleCrop>
  <Company>Lenovo</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jiayuanyuan</dc:creator>
  <cp:lastModifiedBy>贾媛媛</cp:lastModifiedBy>
  <cp:revision>270</cp:revision>
  <cp:lastPrinted>2026-07-24T07:45:00Z</cp:lastPrinted>
  <dcterms:created xsi:type="dcterms:W3CDTF">2022-12-02T02:22:00Z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C2A2C43835414C3186BB00B961B6401E</vt:lpwstr>
  </property>
</Properties>
</file>